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7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Professional communication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seminar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</w:t>
            </w:r>
            <w:r>
              <w:rPr>
                <w:rStyle w:val="Szvegtrzs2Char"/>
                <w:b w:val="0"/>
                <w:bCs/>
                <w:lang w:val="en-gb"/>
              </w:rPr>
              <w:t>2+1 hours per week</w:t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3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5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5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5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0" w:name="__Fieldmark__45_1016521800"/>
            <w:bookmarkEnd w:id="0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1" w:name="__Fieldmark__46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2" w:name="__Fieldmark__47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Bogdán Zaválnij PhD (Faculty of Science, Institute of Mathematics and Informatics, Department of Informatics)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Mátyás Koniorczyk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Objectives:</w:t>
            </w:r>
          </w:p>
          <w:p>
            <w:pPr>
              <w:pStyle w:val="Szvegtrzs21"/>
              <w:rPr>
                <w:b w:val="0"/>
                <w:bCs w:val="0"/>
                <w:lang w:val="en-us" w:eastAsia="en-us" w:bidi="en-us"/>
              </w:rPr>
            </w:pPr>
            <w:r>
              <w:rPr>
                <w:b w:val="0"/>
                <w:bCs w:val="0"/>
                <w:lang w:val="en-gb"/>
              </w:rPr>
              <w:t>The aim of the course is to familiarise the</w:t>
            </w:r>
            <w:r>
              <w:rPr>
                <w:b w:val="0"/>
                <w:bCs w:val="0"/>
                <w:lang w:val="en-us" w:eastAsia="en-us" w:bidi="en-us"/>
              </w:rPr>
              <w:t xml:space="preserve"> students with the techniques of obtaining information in science and technology and with the basics of scientific and technical writing.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have a knowledge on various types of scientific and technical publications and their style.</w:t>
            </w:r>
          </w:p>
          <w:p>
            <w:pPr>
              <w:pStyle w:val="Szvegtrzs21"/>
              <w:rPr>
                <w:b w:val="0"/>
                <w:bCs w:val="0"/>
              </w:rPr>
            </w:pPr>
            <w:r>
              <w:rPr>
                <w:b w:val="0"/>
                <w:lang w:val="en-gb"/>
              </w:rPr>
              <w:t xml:space="preserve">They will be </w:t>
            </w:r>
            <w:r>
              <w:rPr>
                <w:b w:val="0"/>
                <w:i/>
                <w:iCs/>
                <w:lang w:val="en-gb"/>
              </w:rPr>
              <w:t>able</w:t>
            </w:r>
            <w:r>
              <w:rPr>
                <w:b w:val="0"/>
                <w:bCs w:val="0"/>
                <w:i/>
                <w:iCs/>
              </w:rPr>
              <w:t xml:space="preserve"> </w:t>
            </w:r>
            <w:r>
              <w:rPr>
                <w:b w:val="0"/>
                <w:bCs w:val="0"/>
              </w:rPr>
              <w:t>to read proefessional text, query the literature of topics, prepare a proper bibliography, and prepare simple scientific or technical documents, and perform short presentations.</w:t>
            </w:r>
          </w:p>
          <w:p>
            <w:pPr>
              <w:pStyle w:val="Szvegtrzs2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They </w:t>
            </w:r>
            <w:r>
              <w:rPr>
                <w:b w:val="0"/>
                <w:bCs w:val="0"/>
                <w:i/>
                <w:iCs/>
              </w:rPr>
              <w:t>intend</w:t>
            </w:r>
            <w:r>
              <w:rPr>
                <w:b w:val="0"/>
                <w:bCs w:val="0"/>
              </w:rPr>
              <w:t xml:space="preserve"> to adopt a proper attitude in scientific and technical communication.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Sources of scientific and technical information. Books, journals, periodicals. Patent descriptions, standards. RFC-s, software documents.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Basics of scientometry. Citations, impact factor, Hirsch-index.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Online resources. Web of Science, Google Scholar. Webpages of journals and publishers. Online library catalogues.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Practice.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Basics of scientific and technical writings. Style, good practices.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Genres: the scientific paper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Genres: software documentation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Creating a bibliography. Numbered and Harvard styles.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Practice.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Oral genres: presentations, talks.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Practice.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Practice.</w:t>
            </w:r>
          </w:p>
          <w:p>
            <w:pPr>
              <w:numPr>
                <w:ilvl w:val="0"/>
                <w:numId w:val="6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Practice.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 works</w:t>
            </w:r>
            <w:r>
              <w:rPr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The students have to prepare a document on some topic, with a proper bibliography. They should present their work in a short talk.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The grade is given based on the document and the talk.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ind w:left="454" w:hanging="454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szCs w:val="20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numPr>
                <w:ilvl w:val="0"/>
                <w:numId w:val="1"/>
              </w:numPr>
              <w:ind w:left="814" w:hanging="454"/>
              <w:suppressAutoHyphens w:val="0"/>
              <w:tabs>
                <w:tab w:val="left" w:pos="720" w:leader="none"/>
              </w:tabs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lang w:eastAsia="en-us"/>
              </w:rPr>
            </w:pPr>
            <w:r>
              <w:rPr>
                <w:lang w:eastAsia="en-us"/>
              </w:rPr>
              <w:t>Hardy Hoover: Essentials for the scientific and technical writer. Dover publications, 1980.</w:t>
            </w:r>
          </w:p>
          <w:p>
            <w:pPr>
              <w:numPr>
                <w:ilvl w:val="0"/>
                <w:numId w:val="1"/>
              </w:numPr>
              <w:ind w:left="814" w:hanging="454"/>
              <w:suppressAutoHyphens w:val="0"/>
              <w:tabs>
                <w:tab w:val="left" w:pos="720" w:leader="none"/>
              </w:tabs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lang w:eastAsia="en-us"/>
              </w:rPr>
            </w:pPr>
            <w:r>
              <w:rPr>
                <w:lang w:eastAsia="en-us"/>
              </w:rPr>
              <w:t>Miscellaneous resources used during the semester.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Bogdán ZAVÁLNIJ PhD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836409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ee"/>
    <w:family w:val="roman"/>
    <w:pitch w:val="default"/>
  </w:font>
  <w:font w:name="Symbol">
    <w:charset w:val="02"/>
    <w:family w:val="roman"/>
    <w:pitch w:val="default"/>
  </w:font>
  <w:font w:name="Adobe Garamond Pro">
    <w:charset w:val="00"/>
    <w:family w:val="roman"/>
    <w:pitch w:val="default"/>
  </w:font>
  <w:font w:name="Arial">
    <w:charset w:val="ee"/>
    <w:family w:val="swiss"/>
    <w:pitch w:val="default"/>
  </w:font>
  <w:font w:name="Calibri">
    <w:charset w:val="ee"/>
    <w:family w:val="swiss"/>
    <w:pitch w:val="default"/>
  </w:font>
  <w:font w:name="MS Gothic">
    <w:charset w:val="80"/>
    <w:family w:val="modern"/>
    <w:pitch w:val="default"/>
  </w:font>
  <w:font w:name="Cambria">
    <w:charset w:val="ee"/>
    <w:family w:val="roman"/>
    <w:pitch w:val="default"/>
  </w:font>
  <w:font w:name="MS Mincho">
    <w:charset w:val="80"/>
    <w:family w:val="modern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0"/>
    <w:family w:val="roman"/>
    <w:pitch w:val="default"/>
  </w:font>
  <w:font w:name="Tahoma">
    <w:charset w:val="ee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8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4836409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4836409" protected="0"/>
        </w:tcPr>
        <w:p>
          <w:pPr>
            <w:pStyle w:val="cm"/>
            <w:numPr>
              <w:ilvl w:val="0"/>
              <w:numId w:val="4"/>
            </w:numPr>
            <w:ind w:left="0" w:firstLine="0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4836409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Számozott lista 2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2">
    <w:multiLevelType w:val="hybridMultilevel"/>
    <w:name w:val="Számozott lista 1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4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5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6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7">
    <w:multiLevelType w:val="singleLevel"/>
    <w:name w:val="WW8Num29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8">
    <w:multiLevelType w:val="singleLevel"/>
    <w:name w:val="Bullet 8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9">
    <w:multiLevelType w:val="singleLevel"/>
    <w:name w:val="Bullet 9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">
    <w:multiLevelType w:val="singleLevel"/>
    <w:name w:val="Bullet 12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13">
    <w:multiLevelType w:val="singleLevel"/>
    <w:name w:val="Bullet 13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abstractNum w:abstractNumId="14">
    <w:multiLevelType w:val="singleLevel"/>
    <w:name w:val="Bullet 14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abstractNum w:abstractNumId="15">
    <w:multiLevelType w:val="singleLevel"/>
    <w:name w:val="Bullet 1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6">
    <w:multiLevelType w:val="singleLevel"/>
    <w:name w:val="Bullet 16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7">
    <w:multiLevelType w:val="singleLevel"/>
    <w:name w:val="Bullet 17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47"/>
    <w:tmLastPosCaret>
      <w:tmLastPosPgfIdx w:val="0"/>
      <w:tmLastPosIdx w:val="6"/>
    </w:tmLastPosCaret>
    <w:tmLastPosAnchor>
      <w:tmLastPosPgfIdx w:val="0"/>
      <w:tmLastPosIdx w:val="0"/>
    </w:tmLastPosAnchor>
    <w:tmLastPosTblRect w:left="0" w:top="0" w:right="0" w:bottom="0"/>
  </w:tmLastPos>
  <w:tmAppRevision w:date="1494836409" w:val="757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4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4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4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4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4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4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4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4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4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3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  <w:suppressLineNumbers w:val="0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4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4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4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4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4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4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4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4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4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3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  <w:suppressLineNumbers w:val="0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21F1E"/>
      </a:dk1>
      <a:lt1>
        <a:sysClr val="window" lastClr="D6D2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Matyas Koniorczyk</cp:lastModifiedBy>
  <cp:revision>8</cp:revision>
  <cp:lastPrinted>2012-03-06T17:02:00Z</cp:lastPrinted>
  <dcterms:created xsi:type="dcterms:W3CDTF">2017-04-10T14:00:00Z</dcterms:created>
  <dcterms:modified xsi:type="dcterms:W3CDTF">2017-05-15T10:20:09Z</dcterms:modified>
</cp:coreProperties>
</file>