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FD3616">
              <w:rPr>
                <w:color w:val="000000"/>
                <w:szCs w:val="20"/>
                <w:lang w:val="en-GB"/>
              </w:rPr>
              <w:t>Analysis 1</w:t>
            </w:r>
            <w:r w:rsidR="003C1B9A">
              <w:rPr>
                <w:color w:val="000000"/>
                <w:szCs w:val="20"/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FD3616">
              <w:rPr>
                <w:rStyle w:val="Szvegtrzs2Char"/>
                <w:b w:val="0"/>
                <w:lang w:val="en-GB"/>
              </w:rPr>
              <w:t>3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6D2DFE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D86894">
              <w:rPr>
                <w:bCs/>
                <w:lang w:val="en-GB"/>
              </w:rPr>
              <w:t>3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FD361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="00FD361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FD3616" w:rsidRPr="004E203A">
              <w:rPr>
                <w:lang w:val="en-GB"/>
              </w:rPr>
              <w:instrText xml:space="preserve"> FORMCHECKBOX </w:instrText>
            </w:r>
            <w:r w:rsidR="00D36F9B">
              <w:rPr>
                <w:lang w:val="en-GB"/>
              </w:rPr>
            </w:r>
            <w:r w:rsidR="00D36F9B">
              <w:rPr>
                <w:lang w:val="en-GB"/>
              </w:rPr>
              <w:fldChar w:fldCharType="separate"/>
            </w:r>
            <w:r w:rsidR="00FD3616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r w:rsidR="00FD361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D3616" w:rsidRPr="004E203A">
              <w:rPr>
                <w:lang w:val="en-GB"/>
              </w:rPr>
              <w:instrText xml:space="preserve"> FORMCHECKBOX </w:instrText>
            </w:r>
            <w:r w:rsidR="00D36F9B">
              <w:rPr>
                <w:lang w:val="en-GB"/>
              </w:rPr>
            </w:r>
            <w:r w:rsidR="00D36F9B">
              <w:rPr>
                <w:lang w:val="en-GB"/>
              </w:rPr>
              <w:fldChar w:fldCharType="separate"/>
            </w:r>
            <w:r w:rsidR="00FD3616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D36F9B">
              <w:rPr>
                <w:lang w:val="en-GB"/>
              </w:rPr>
            </w:r>
            <w:r w:rsidR="00D36F9B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FD3616" w:rsidP="003C1B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>Tímea Eisner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EE64C6">
            <w:pPr>
              <w:suppressAutoHyphens w:val="0"/>
              <w:autoSpaceDN w:val="0"/>
              <w:adjustRightInd w:val="0"/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The lecture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the </w:t>
            </w:r>
            <w:r w:rsidR="00FD3616">
              <w:rPr>
                <w:lang w:val="en-GB"/>
              </w:rPr>
              <w:t>basic notions</w:t>
            </w:r>
            <w:r w:rsidR="00666AA6" w:rsidRPr="004E203A">
              <w:rPr>
                <w:lang w:val="en-GB"/>
              </w:rPr>
              <w:t xml:space="preserve"> of </w:t>
            </w:r>
            <w:r w:rsidR="00FD3616">
              <w:rPr>
                <w:lang w:val="en-GB"/>
              </w:rPr>
              <w:t>Mathematical Analysis 1: concepts of real numbers, convergence, limits of sequences and</w:t>
            </w:r>
            <w:r w:rsidR="00EE64C6">
              <w:rPr>
                <w:lang w:val="en-GB"/>
              </w:rPr>
              <w:t xml:space="preserve"> sum of</w:t>
            </w:r>
            <w:r w:rsidR="00FD3616">
              <w:rPr>
                <w:lang w:val="en-GB"/>
              </w:rPr>
              <w:t xml:space="preserve"> series</w:t>
            </w:r>
            <w:r w:rsidR="00FD3616" w:rsidRPr="00D957BF">
              <w:t xml:space="preserve">. </w:t>
            </w:r>
            <w:r w:rsidR="00FD3616">
              <w:t>The course helps</w:t>
            </w:r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666AA6" w:rsidRPr="00774A19" w:rsidRDefault="00C505A4" w:rsidP="00FD3616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E64C6">
              <w:rPr>
                <w:b w:val="0"/>
                <w:lang w:val="en-GB"/>
              </w:rPr>
              <w:t xml:space="preserve">Mathematical </w:t>
            </w:r>
            <w:r w:rsidR="00FD3616">
              <w:rPr>
                <w:b w:val="0"/>
                <w:lang w:val="en-GB"/>
              </w:rPr>
              <w:t>Analy</w:t>
            </w:r>
            <w:r w:rsidR="00D37BF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>Analysis 1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EE64C6" w:rsidRDefault="00EE64C6" w:rsidP="00EE64C6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EE64C6">
              <w:rPr>
                <w:b/>
                <w:sz w:val="20"/>
                <w:lang w:val="en-US" w:eastAsia="hu-HU"/>
              </w:rPr>
              <w:t>Real numbers</w:t>
            </w:r>
            <w:r>
              <w:rPr>
                <w:b/>
                <w:sz w:val="20"/>
                <w:lang w:val="en-US" w:eastAsia="hu-HU"/>
              </w:rPr>
              <w:t xml:space="preserve">: </w:t>
            </w:r>
            <w:r w:rsidRPr="00EE64C6">
              <w:rPr>
                <w:sz w:val="20"/>
                <w:lang w:val="en-US" w:eastAsia="hu-HU"/>
              </w:rPr>
              <w:t xml:space="preserve">constructive definition. </w:t>
            </w:r>
            <w:r>
              <w:rPr>
                <w:sz w:val="20"/>
                <w:lang w:val="en-US" w:eastAsia="hu-HU"/>
              </w:rPr>
              <w:t>Decimal fractions. Axioms of real numbers: field axioms, order axioms</w:t>
            </w:r>
            <w:r w:rsidRPr="00EE64C6">
              <w:rPr>
                <w:sz w:val="20"/>
                <w:lang w:val="en-US" w:eastAsia="hu-HU"/>
              </w:rPr>
              <w:t>.</w:t>
            </w:r>
            <w:r>
              <w:rPr>
                <w:sz w:val="20"/>
                <w:lang w:val="en-US" w:eastAsia="hu-HU"/>
              </w:rPr>
              <w:t xml:space="preserve"> Natural numbers, method of mathematical induction.</w:t>
            </w:r>
            <w:r w:rsidRPr="00EE64C6">
              <w:rPr>
                <w:b/>
                <w:sz w:val="20"/>
                <w:lang w:val="en-US" w:eastAsia="hu-HU"/>
              </w:rPr>
              <w:t xml:space="preserve"> </w:t>
            </w:r>
            <w:r w:rsidRPr="00EE64C6">
              <w:rPr>
                <w:sz w:val="20"/>
                <w:lang w:val="en-US" w:eastAsia="hu-HU"/>
              </w:rPr>
              <w:t>Archimedean axiom.</w:t>
            </w:r>
            <w:r>
              <w:rPr>
                <w:b/>
                <w:sz w:val="20"/>
                <w:lang w:val="en-US" w:eastAsia="hu-HU"/>
              </w:rPr>
              <w:t xml:space="preserve"> </w:t>
            </w:r>
            <w:r w:rsidR="007208AA" w:rsidRPr="00FA2BB3">
              <w:rPr>
                <w:sz w:val="20"/>
                <w:lang w:val="en-US" w:eastAsia="hu-HU"/>
              </w:rPr>
              <w:t>Partitioning axiom.</w:t>
            </w:r>
            <w:r w:rsidR="007208AA">
              <w:rPr>
                <w:sz w:val="20"/>
                <w:lang w:eastAsia="ar-SA"/>
              </w:rPr>
              <w:t xml:space="preserve"> Finite sets, countable sets. </w:t>
            </w:r>
            <w:proofErr w:type="spellStart"/>
            <w:r w:rsidR="007208AA">
              <w:rPr>
                <w:sz w:val="20"/>
                <w:lang w:eastAsia="ar-SA"/>
              </w:rPr>
              <w:t>Countability</w:t>
            </w:r>
            <w:proofErr w:type="spellEnd"/>
            <w:r w:rsidR="007208AA">
              <w:rPr>
                <w:sz w:val="20"/>
                <w:lang w:eastAsia="ar-SA"/>
              </w:rPr>
              <w:t xml:space="preserve"> of the set of rational numbers.</w:t>
            </w:r>
          </w:p>
          <w:p w:rsidR="00EE64C6" w:rsidRPr="007208AA" w:rsidRDefault="007208AA" w:rsidP="00EE64C6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7208AA">
              <w:rPr>
                <w:sz w:val="20"/>
                <w:lang w:val="en-US" w:eastAsia="hu-HU"/>
              </w:rPr>
              <w:t>Cantor axioms. Bernoulli inequality. The absolute value.</w:t>
            </w:r>
            <w:r>
              <w:rPr>
                <w:sz w:val="20"/>
                <w:lang w:val="en-US" w:eastAsia="hu-HU"/>
              </w:rPr>
              <w:t xml:space="preserve"> I</w:t>
            </w:r>
            <w:r w:rsidR="00EE64C6" w:rsidRPr="007208AA">
              <w:rPr>
                <w:sz w:val="20"/>
                <w:lang w:val="en-US" w:eastAsia="hu-HU"/>
              </w:rPr>
              <w:t>ntervals.</w:t>
            </w:r>
            <w:r>
              <w:rPr>
                <w:sz w:val="20"/>
                <w:lang w:val="en-US" w:eastAsia="hu-HU"/>
              </w:rPr>
              <w:t xml:space="preserve"> Each interval contains a rational number.</w:t>
            </w:r>
          </w:p>
          <w:p w:rsidR="007208AA" w:rsidRPr="00236EEE" w:rsidRDefault="00236EEE" w:rsidP="00EE64C6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val="en-US" w:eastAsia="hu-HU"/>
              </w:rPr>
              <w:t>Boundary</w:t>
            </w:r>
            <w:r w:rsidR="007208AA">
              <w:rPr>
                <w:sz w:val="20"/>
                <w:lang w:val="en-US" w:eastAsia="hu-HU"/>
              </w:rPr>
              <w:t xml:space="preserve"> of real sets. </w:t>
            </w:r>
            <w:r>
              <w:rPr>
                <w:sz w:val="20"/>
                <w:lang w:val="en-US" w:eastAsia="hu-HU"/>
              </w:rPr>
              <w:t>Upper and lower</w:t>
            </w:r>
            <w:r w:rsidR="007208AA">
              <w:rPr>
                <w:sz w:val="20"/>
                <w:lang w:val="en-US" w:eastAsia="hu-HU"/>
              </w:rPr>
              <w:t xml:space="preserve"> bounds </w:t>
            </w:r>
            <w:r>
              <w:rPr>
                <w:sz w:val="20"/>
                <w:lang w:val="en-US" w:eastAsia="hu-HU"/>
              </w:rPr>
              <w:t xml:space="preserve">and limits </w:t>
            </w:r>
            <w:r w:rsidR="007208AA">
              <w:rPr>
                <w:sz w:val="20"/>
                <w:lang w:val="en-US" w:eastAsia="hu-HU"/>
              </w:rPr>
              <w:t>of sets.</w:t>
            </w:r>
            <w:r>
              <w:rPr>
                <w:sz w:val="20"/>
                <w:lang w:val="en-US" w:eastAsia="hu-HU"/>
              </w:rPr>
              <w:t xml:space="preserve"> Powers. Highlighted inequalities: the inequality of arithmetic and geometric means, the inequalities of </w:t>
            </w:r>
            <w:r w:rsidR="00D86894">
              <w:rPr>
                <w:sz w:val="20"/>
                <w:lang w:eastAsia="ar-SA"/>
              </w:rPr>
              <w:t xml:space="preserve">Cauchy- </w:t>
            </w:r>
            <w:proofErr w:type="spellStart"/>
            <w:r w:rsidR="00D86894">
              <w:rPr>
                <w:sz w:val="20"/>
                <w:lang w:eastAsia="ar-SA"/>
              </w:rPr>
              <w:t>Buniakovski-</w:t>
            </w:r>
            <w:r w:rsidRPr="00236EEE">
              <w:rPr>
                <w:sz w:val="20"/>
                <w:lang w:eastAsia="ar-SA"/>
              </w:rPr>
              <w:t>Minkowski</w:t>
            </w:r>
            <w:proofErr w:type="spellEnd"/>
            <w:r>
              <w:rPr>
                <w:lang w:eastAsia="ar-SA"/>
              </w:rPr>
              <w:t>.</w:t>
            </w:r>
          </w:p>
          <w:p w:rsidR="00236EEE" w:rsidRPr="00236EEE" w:rsidRDefault="00236EEE" w:rsidP="00EE64C6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3C7D1E">
              <w:rPr>
                <w:b/>
                <w:sz w:val="20"/>
                <w:lang w:val="en-US" w:eastAsia="hu-HU"/>
              </w:rPr>
              <w:t>Sequences</w:t>
            </w:r>
            <w:r w:rsidRPr="00236EEE">
              <w:rPr>
                <w:sz w:val="20"/>
                <w:lang w:val="en-US" w:eastAsia="hu-HU"/>
              </w:rPr>
              <w:t xml:space="preserve">. </w:t>
            </w:r>
            <w:r w:rsidRPr="00236EEE">
              <w:rPr>
                <w:color w:val="000000"/>
                <w:sz w:val="20"/>
                <w:lang w:val="en-US" w:eastAsia="hu-HU"/>
              </w:rPr>
              <w:t xml:space="preserve"> Subsequences.</w:t>
            </w:r>
            <w:r>
              <w:rPr>
                <w:color w:val="000000"/>
                <w:sz w:val="20"/>
                <w:lang w:val="en-US" w:eastAsia="hu-HU"/>
              </w:rPr>
              <w:t xml:space="preserve"> Monotone sequences. Each sequence has a monotone</w:t>
            </w:r>
            <w:r w:rsidRPr="003C7D1E">
              <w:rPr>
                <w:color w:val="000000"/>
                <w:sz w:val="20"/>
                <w:lang w:val="en-US" w:eastAsia="hu-HU"/>
              </w:rPr>
              <w:t xml:space="preserve"> </w:t>
            </w:r>
            <w:r>
              <w:rPr>
                <w:color w:val="000000"/>
                <w:sz w:val="20"/>
                <w:lang w:val="en-US" w:eastAsia="hu-HU"/>
              </w:rPr>
              <w:t xml:space="preserve">subsequence. </w:t>
            </w:r>
            <w:r w:rsidRPr="003C7D1E">
              <w:rPr>
                <w:color w:val="000000"/>
                <w:sz w:val="20"/>
                <w:lang w:val="en-US" w:eastAsia="hu-HU"/>
              </w:rPr>
              <w:t>Bounded sequences</w:t>
            </w:r>
            <w:r w:rsidRPr="003C7D1E">
              <w:rPr>
                <w:b/>
                <w:color w:val="000000"/>
                <w:sz w:val="20"/>
                <w:lang w:val="en-US" w:eastAsia="hu-HU"/>
              </w:rPr>
              <w:t xml:space="preserve">.  </w:t>
            </w:r>
          </w:p>
          <w:p w:rsidR="00E22441" w:rsidRPr="00E22441" w:rsidRDefault="00236EEE" w:rsidP="00EE64C6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3C7D1E">
              <w:rPr>
                <w:color w:val="000000"/>
                <w:sz w:val="20"/>
                <w:lang w:val="en-US" w:eastAsia="hu-HU"/>
              </w:rPr>
              <w:t>Convergen</w:t>
            </w:r>
            <w:r>
              <w:rPr>
                <w:color w:val="000000"/>
                <w:sz w:val="20"/>
                <w:lang w:val="en-US" w:eastAsia="hu-HU"/>
              </w:rPr>
              <w:t>t sequences. Convergen</w:t>
            </w:r>
            <w:r w:rsidRPr="003C7D1E">
              <w:rPr>
                <w:color w:val="000000"/>
                <w:sz w:val="20"/>
                <w:lang w:val="en-US" w:eastAsia="hu-HU"/>
              </w:rPr>
              <w:t>ce</w:t>
            </w:r>
            <w:r>
              <w:rPr>
                <w:color w:val="000000"/>
                <w:sz w:val="20"/>
                <w:lang w:val="en-US" w:eastAsia="hu-HU"/>
              </w:rPr>
              <w:t>, uniqueness theorem</w:t>
            </w:r>
            <w:r w:rsidRPr="003C7D1E">
              <w:rPr>
                <w:color w:val="000000"/>
                <w:sz w:val="20"/>
                <w:lang w:val="en-US" w:eastAsia="hu-HU"/>
              </w:rPr>
              <w:t xml:space="preserve">. </w:t>
            </w:r>
            <w:r w:rsidR="00E22441">
              <w:rPr>
                <w:color w:val="000000"/>
                <w:sz w:val="20"/>
                <w:lang w:val="en-US" w:eastAsia="hu-HU"/>
              </w:rPr>
              <w:t>Divergence, classification of divergent sequences</w:t>
            </w:r>
            <w:r w:rsidRPr="003C7D1E">
              <w:rPr>
                <w:color w:val="000000"/>
                <w:sz w:val="20"/>
                <w:lang w:val="en-US" w:eastAsia="hu-HU"/>
              </w:rPr>
              <w:t xml:space="preserve">. </w:t>
            </w:r>
            <w:r w:rsidR="00E22441">
              <w:rPr>
                <w:color w:val="000000"/>
                <w:sz w:val="20"/>
                <w:lang w:val="en-US" w:eastAsia="hu-HU"/>
              </w:rPr>
              <w:t>Three consequences of convergence.</w:t>
            </w:r>
          </w:p>
          <w:p w:rsidR="00EE64C6" w:rsidRPr="00E22441" w:rsidRDefault="00E22441" w:rsidP="00E22441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color w:val="000000"/>
                <w:sz w:val="20"/>
                <w:lang w:val="en-US" w:eastAsia="hu-HU"/>
              </w:rPr>
              <w:t>Highlighted sequences</w:t>
            </w:r>
            <w:r w:rsidR="00EE64C6" w:rsidRPr="00E22441">
              <w:rPr>
                <w:lang w:eastAsia="ar-SA"/>
              </w:rPr>
              <w:t xml:space="preserve">: </w:t>
            </w:r>
            <w:r w:rsidRPr="00E22441">
              <w:rPr>
                <w:sz w:val="20"/>
                <w:lang w:eastAsia="ar-SA"/>
              </w:rPr>
              <w:t>constant sequence, harmonic sequence, geometrical sequence</w:t>
            </w:r>
            <w:r w:rsidR="00EE64C6" w:rsidRPr="00E22441">
              <w:rPr>
                <w:sz w:val="20"/>
                <w:lang w:eastAsia="ar-SA"/>
              </w:rPr>
              <w:t xml:space="preserve">, </w:t>
            </w:r>
            <w:r w:rsidR="00D36F9B">
              <w:rPr>
                <w:position w:val="-8"/>
                <w:sz w:val="20"/>
                <w:lang w:eastAsia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15pt;height:18pt" filled="t">
                  <v:fill color2="black"/>
                  <v:imagedata r:id="rId8" o:title=""/>
                </v:shape>
              </w:pict>
            </w:r>
            <w:r w:rsidR="00EE64C6" w:rsidRPr="00E22441">
              <w:rPr>
                <w:sz w:val="20"/>
                <w:lang w:eastAsia="ar-SA"/>
              </w:rPr>
              <w:t xml:space="preserve"> </w:t>
            </w:r>
            <w:r w:rsidR="00D36F9B">
              <w:rPr>
                <w:position w:val="-10"/>
                <w:sz w:val="20"/>
                <w:lang w:eastAsia="ar-SA"/>
              </w:rPr>
              <w:pict>
                <v:shape id="_x0000_i1026" type="#_x0000_t75" style="width:37.9pt;height:19.9pt" filled="t">
                  <v:fill color2="black"/>
                  <v:imagedata r:id="rId9" o:title=""/>
                </v:shape>
              </w:pict>
            </w:r>
            <w:r w:rsidRPr="00E22441">
              <w:rPr>
                <w:sz w:val="20"/>
                <w:lang w:eastAsia="ar-SA"/>
              </w:rPr>
              <w:t>;</w:t>
            </w:r>
            <w:r w:rsidR="00EE64C6" w:rsidRPr="00E22441">
              <w:rPr>
                <w:sz w:val="20"/>
                <w:lang w:eastAsia="ar-SA"/>
              </w:rPr>
              <w:t xml:space="preserve"> </w:t>
            </w:r>
            <w:r w:rsidR="00D36F9B">
              <w:rPr>
                <w:position w:val="-23"/>
                <w:sz w:val="20"/>
                <w:lang w:eastAsia="ar-SA"/>
              </w:rPr>
              <w:pict>
                <v:shape id="_x0000_i1027" type="#_x0000_t75" style="width:57.8pt;height:33.15pt" filled="t">
                  <v:fill color2="black"/>
                  <v:imagedata r:id="rId10" o:title=""/>
                </v:shape>
              </w:pict>
            </w:r>
            <w:r w:rsidR="00EE64C6" w:rsidRPr="00E22441">
              <w:rPr>
                <w:sz w:val="20"/>
                <w:lang w:eastAsia="ar-SA"/>
              </w:rPr>
              <w:t xml:space="preserve"> </w:t>
            </w:r>
            <w:r w:rsidR="00D36F9B">
              <w:rPr>
                <w:position w:val="-10"/>
                <w:sz w:val="20"/>
                <w:lang w:eastAsia="ar-SA"/>
              </w:rPr>
              <w:pict>
                <v:shape id="_x0000_i1028" type="#_x0000_t75" style="width:39.8pt;height:19.9pt" filled="t">
                  <v:fill color2="black"/>
                  <v:imagedata r:id="rId11" o:title=""/>
                </v:shape>
              </w:pict>
            </w:r>
            <w:r w:rsidR="00EE64C6" w:rsidRPr="00E22441">
              <w:rPr>
                <w:sz w:val="20"/>
                <w:lang w:eastAsia="ar-SA"/>
              </w:rPr>
              <w:t xml:space="preserve">; </w:t>
            </w:r>
            <w:r w:rsidR="00D36F9B">
              <w:rPr>
                <w:position w:val="-14"/>
                <w:sz w:val="20"/>
                <w:lang w:eastAsia="ar-SA"/>
              </w:rPr>
              <w:pict>
                <v:shape id="_x0000_i1029" type="#_x0000_t75" style="width:63.95pt;height:24.15pt" filled="t">
                  <v:fill color2="black"/>
                  <v:imagedata r:id="rId12" o:title=""/>
                </v:shape>
              </w:pict>
            </w:r>
            <w:r w:rsidR="00EE64C6" w:rsidRPr="00E22441">
              <w:rPr>
                <w:sz w:val="20"/>
                <w:lang w:eastAsia="ar-SA"/>
              </w:rPr>
              <w:t xml:space="preserve"> </w:t>
            </w:r>
            <w:r w:rsidR="00D36F9B">
              <w:rPr>
                <w:position w:val="-10"/>
                <w:sz w:val="20"/>
                <w:lang w:eastAsia="ar-SA"/>
              </w:rPr>
              <w:pict>
                <v:shape id="_x0000_i1030" type="#_x0000_t75" style="width:36.95pt;height:19.9pt" filled="t">
                  <v:fill color2="black"/>
                  <v:imagedata r:id="rId13" o:title=""/>
                </v:shape>
              </w:pict>
            </w:r>
            <w:r w:rsidR="00EE64C6" w:rsidRPr="00E22441">
              <w:rPr>
                <w:sz w:val="20"/>
                <w:lang w:eastAsia="ar-SA"/>
              </w:rPr>
              <w:t>;</w:t>
            </w:r>
            <w:r w:rsidR="00D36F9B">
              <w:rPr>
                <w:position w:val="-14"/>
                <w:sz w:val="20"/>
                <w:lang w:eastAsia="ar-SA"/>
              </w:rPr>
              <w:pict>
                <v:shape id="_x0000_i1031" type="#_x0000_t75" style="width:63pt;height:24.15pt" filled="t">
                  <v:fill color2="black"/>
                  <v:imagedata r:id="rId14" o:title=""/>
                </v:shape>
              </w:pict>
            </w:r>
            <w:r w:rsidR="00EE64C6" w:rsidRPr="00E22441">
              <w:rPr>
                <w:sz w:val="20"/>
                <w:lang w:eastAsia="ar-SA"/>
              </w:rPr>
              <w:t xml:space="preserve">; </w:t>
            </w:r>
            <w:r w:rsidR="00D36F9B">
              <w:rPr>
                <w:position w:val="-14"/>
                <w:sz w:val="20"/>
                <w:lang w:eastAsia="ar-SA"/>
              </w:rPr>
              <w:pict>
                <v:shape id="_x0000_i1032" type="#_x0000_t75" style="width:66.8pt;height:24.15pt" filled="t">
                  <v:fill color2="black"/>
                  <v:imagedata r:id="rId15" o:title=""/>
                </v:shape>
              </w:pict>
            </w:r>
            <w:r w:rsidR="00EE64C6" w:rsidRPr="00E22441">
              <w:rPr>
                <w:sz w:val="20"/>
                <w:lang w:eastAsia="ar-SA"/>
              </w:rPr>
              <w:t xml:space="preserve">; </w:t>
            </w:r>
            <w:r w:rsidRPr="00E22441">
              <w:rPr>
                <w:sz w:val="20"/>
                <w:lang w:eastAsia="ar-SA"/>
              </w:rPr>
              <w:t xml:space="preserve">the number </w:t>
            </w:r>
            <w:r w:rsidRPr="00E22441">
              <w:rPr>
                <w:i/>
                <w:sz w:val="20"/>
                <w:lang w:eastAsia="ar-SA"/>
              </w:rPr>
              <w:t>e</w:t>
            </w:r>
            <w:r w:rsidR="00EE64C6" w:rsidRPr="00E22441">
              <w:rPr>
                <w:sz w:val="20"/>
                <w:lang w:eastAsia="ar-SA"/>
              </w:rPr>
              <w:t>.</w:t>
            </w:r>
            <w:r w:rsidRPr="00E22441">
              <w:rPr>
                <w:sz w:val="20"/>
                <w:lang w:eastAsia="ar-SA"/>
              </w:rPr>
              <w:t xml:space="preserve"> Properties of operations with zero sequences.</w:t>
            </w:r>
          </w:p>
          <w:p w:rsidR="00E22441" w:rsidRPr="00E22441" w:rsidRDefault="00E22441" w:rsidP="00E22441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E22441">
              <w:rPr>
                <w:sz w:val="20"/>
                <w:lang w:eastAsia="ar-SA"/>
              </w:rPr>
              <w:t>Properties of operations with sequences. (Convergent sequences, divergent sequences) The theorem of the monotony of the limit. Sandwich theorem/squeeze theorem. The convergence of the absolute value of sequences.</w:t>
            </w:r>
          </w:p>
          <w:p w:rsidR="00E22441" w:rsidRPr="00E22441" w:rsidRDefault="00E22441" w:rsidP="00E22441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E22441">
              <w:rPr>
                <w:sz w:val="20"/>
                <w:lang w:eastAsia="ar-SA"/>
              </w:rPr>
              <w:t>Limits of monotone sequences, theorem of Bolzano-</w:t>
            </w:r>
            <w:proofErr w:type="spellStart"/>
            <w:r w:rsidRPr="00E22441">
              <w:rPr>
                <w:sz w:val="20"/>
                <w:lang w:eastAsia="ar-SA"/>
              </w:rPr>
              <w:t>Weierstrass</w:t>
            </w:r>
            <w:proofErr w:type="spellEnd"/>
            <w:r w:rsidR="00FA2BB3">
              <w:rPr>
                <w:sz w:val="20"/>
                <w:lang w:eastAsia="ar-SA"/>
              </w:rPr>
              <w:t xml:space="preserve">. </w:t>
            </w:r>
            <w:r w:rsidRPr="00E22441">
              <w:rPr>
                <w:sz w:val="20"/>
                <w:lang w:eastAsia="ar-SA"/>
              </w:rPr>
              <w:t xml:space="preserve"> Existence theorem of </w:t>
            </w:r>
            <w:r w:rsidRPr="00E22441">
              <w:rPr>
                <w:i/>
                <w:sz w:val="20"/>
                <w:lang w:eastAsia="ar-SA"/>
              </w:rPr>
              <w:t>n</w:t>
            </w:r>
            <w:r w:rsidRPr="00E22441">
              <w:rPr>
                <w:sz w:val="20"/>
                <w:lang w:eastAsia="ar-SA"/>
              </w:rPr>
              <w:t>-</w:t>
            </w:r>
            <w:proofErr w:type="spellStart"/>
            <w:r w:rsidRPr="00E22441">
              <w:rPr>
                <w:sz w:val="20"/>
                <w:lang w:eastAsia="ar-SA"/>
              </w:rPr>
              <w:t>th</w:t>
            </w:r>
            <w:proofErr w:type="spellEnd"/>
            <w:r w:rsidRPr="00E22441">
              <w:rPr>
                <w:sz w:val="20"/>
                <w:lang w:eastAsia="ar-SA"/>
              </w:rPr>
              <w:t xml:space="preserve"> root of a positive number.</w:t>
            </w:r>
          </w:p>
          <w:p w:rsidR="00EE64C6" w:rsidRPr="003114A7" w:rsidRDefault="00E22441" w:rsidP="00E22441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3C7D1E">
              <w:rPr>
                <w:color w:val="000000"/>
                <w:sz w:val="20"/>
                <w:lang w:val="en-US" w:eastAsia="hu-HU"/>
              </w:rPr>
              <w:t>Cauchy sequences.</w:t>
            </w:r>
            <w:r>
              <w:rPr>
                <w:color w:val="000000"/>
                <w:sz w:val="20"/>
                <w:lang w:val="en-US" w:eastAsia="hu-HU"/>
              </w:rPr>
              <w:t xml:space="preserve"> Upper and lower limit of </w:t>
            </w:r>
            <w:r w:rsidRPr="003114A7">
              <w:rPr>
                <w:color w:val="000000"/>
                <w:sz w:val="20"/>
                <w:lang w:val="en-US" w:eastAsia="hu-HU"/>
              </w:rPr>
              <w:t>sequences</w:t>
            </w:r>
            <w:r w:rsidR="00EE64C6" w:rsidRPr="003114A7">
              <w:rPr>
                <w:sz w:val="20"/>
                <w:lang w:eastAsia="ar-SA"/>
              </w:rPr>
              <w:t xml:space="preserve">. </w:t>
            </w:r>
            <w:proofErr w:type="spellStart"/>
            <w:r w:rsidR="00FA1A93" w:rsidRPr="003114A7">
              <w:rPr>
                <w:sz w:val="20"/>
                <w:lang w:eastAsia="ar-SA"/>
              </w:rPr>
              <w:t>Cesaro-Stol</w:t>
            </w:r>
            <w:r w:rsidR="00EE64C6" w:rsidRPr="003114A7">
              <w:rPr>
                <w:sz w:val="20"/>
                <w:lang w:eastAsia="ar-SA"/>
              </w:rPr>
              <w:t>z</w:t>
            </w:r>
            <w:proofErr w:type="spellEnd"/>
            <w:r w:rsidR="00EE64C6" w:rsidRPr="003114A7">
              <w:rPr>
                <w:sz w:val="20"/>
                <w:lang w:eastAsia="ar-SA"/>
              </w:rPr>
              <w:t xml:space="preserve"> </w:t>
            </w:r>
            <w:r w:rsidR="00FA1A93" w:rsidRPr="003114A7">
              <w:rPr>
                <w:sz w:val="20"/>
                <w:lang w:eastAsia="ar-SA"/>
              </w:rPr>
              <w:t>theorem and its corollary.</w:t>
            </w:r>
          </w:p>
          <w:p w:rsidR="00FA1A93" w:rsidRPr="003114A7" w:rsidRDefault="00FA1A93" w:rsidP="00E22441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3114A7">
              <w:rPr>
                <w:b/>
                <w:sz w:val="20"/>
                <w:lang w:val="en-US" w:eastAsia="hu-HU"/>
              </w:rPr>
              <w:t>Infinite series.</w:t>
            </w:r>
            <w:r w:rsidRPr="003114A7">
              <w:rPr>
                <w:b/>
                <w:color w:val="000000"/>
                <w:sz w:val="20"/>
                <w:lang w:val="en-US" w:eastAsia="hu-HU"/>
              </w:rPr>
              <w:t xml:space="preserve"> </w:t>
            </w:r>
            <w:r w:rsidRPr="003114A7">
              <w:rPr>
                <w:color w:val="000000"/>
                <w:sz w:val="20"/>
                <w:lang w:val="en-US" w:eastAsia="hu-HU"/>
              </w:rPr>
              <w:t>Definition of series and their convergence.</w:t>
            </w:r>
            <w:r w:rsidRPr="003114A7">
              <w:rPr>
                <w:b/>
                <w:color w:val="000000"/>
                <w:sz w:val="20"/>
                <w:lang w:val="en-US" w:eastAsia="hu-HU"/>
              </w:rPr>
              <w:t xml:space="preserve"> </w:t>
            </w:r>
            <w:r w:rsidRPr="003114A7">
              <w:rPr>
                <w:color w:val="000000"/>
                <w:sz w:val="20"/>
                <w:lang w:val="en-US" w:eastAsia="hu-HU"/>
              </w:rPr>
              <w:t xml:space="preserve"> Absolute and conditional convergence. Cauchy’s test for convergence of series. 3 corollaries of the convergence test.</w:t>
            </w:r>
            <w:r w:rsidRPr="003114A7">
              <w:rPr>
                <w:sz w:val="20"/>
                <w:lang w:eastAsia="ar-SA"/>
              </w:rPr>
              <w:t xml:space="preserve"> Harmonic series, geometric series. Series of positive</w:t>
            </w:r>
            <w:r w:rsidR="003114A7" w:rsidRPr="003114A7">
              <w:rPr>
                <w:sz w:val="20"/>
                <w:lang w:eastAsia="ar-SA"/>
              </w:rPr>
              <w:t xml:space="preserve"> terms. Test of comparison.</w:t>
            </w:r>
          </w:p>
          <w:p w:rsidR="00FA1A93" w:rsidRPr="003114A7" w:rsidRDefault="003114A7" w:rsidP="003114A7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3114A7">
              <w:rPr>
                <w:sz w:val="20"/>
                <w:lang w:eastAsia="ar-SA"/>
              </w:rPr>
              <w:t xml:space="preserve">Leibniz series. Approximation for the rate of convergence. Examples for conditionally convergent series. </w:t>
            </w:r>
            <w:r w:rsidR="00FA1A93" w:rsidRPr="003114A7">
              <w:rPr>
                <w:color w:val="000000"/>
                <w:sz w:val="20"/>
                <w:lang w:val="en-US" w:eastAsia="hu-HU"/>
              </w:rPr>
              <w:t>Operations with series</w:t>
            </w:r>
            <w:r w:rsidRPr="003114A7">
              <w:rPr>
                <w:color w:val="000000"/>
                <w:sz w:val="20"/>
                <w:lang w:val="en-US" w:eastAsia="hu-HU"/>
              </w:rPr>
              <w:t xml:space="preserve"> 1</w:t>
            </w:r>
            <w:r w:rsidR="00FA1A93" w:rsidRPr="003114A7">
              <w:rPr>
                <w:color w:val="000000"/>
                <w:sz w:val="20"/>
                <w:lang w:val="en-US" w:eastAsia="hu-HU"/>
              </w:rPr>
              <w:t>. Convergence criterions</w:t>
            </w:r>
            <w:r w:rsidRPr="003114A7">
              <w:rPr>
                <w:color w:val="000000"/>
                <w:sz w:val="20"/>
                <w:lang w:val="en-US" w:eastAsia="hu-HU"/>
              </w:rPr>
              <w:t xml:space="preserve">/tests: Cauchy’s root test, </w:t>
            </w:r>
            <w:proofErr w:type="spellStart"/>
            <w:r w:rsidRPr="003114A7">
              <w:rPr>
                <w:sz w:val="20"/>
              </w:rPr>
              <w:t>D’Alambert’s</w:t>
            </w:r>
            <w:proofErr w:type="spellEnd"/>
            <w:r w:rsidRPr="003114A7">
              <w:rPr>
                <w:sz w:val="20"/>
              </w:rPr>
              <w:t xml:space="preserve"> fraction test</w:t>
            </w:r>
            <w:r w:rsidR="00FA1A93" w:rsidRPr="003114A7">
              <w:rPr>
                <w:color w:val="000000"/>
                <w:sz w:val="20"/>
                <w:lang w:val="en-US" w:eastAsia="hu-HU"/>
              </w:rPr>
              <w:t>.</w:t>
            </w:r>
          </w:p>
          <w:p w:rsidR="00FA1A93" w:rsidRPr="003114A7" w:rsidRDefault="003114A7" w:rsidP="00E22441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lang w:eastAsia="ar-SA"/>
              </w:rPr>
            </w:pPr>
            <w:r w:rsidRPr="003114A7">
              <w:rPr>
                <w:sz w:val="20"/>
                <w:lang w:eastAsia="ar-SA"/>
              </w:rPr>
              <w:t xml:space="preserve">Condensation principle of Cauchy. </w:t>
            </w:r>
            <w:r w:rsidRPr="003114A7">
              <w:rPr>
                <w:color w:val="000000"/>
                <w:sz w:val="20"/>
                <w:lang w:val="en-US" w:eastAsia="hu-HU"/>
              </w:rPr>
              <w:t>Operations with series 2: reordering of series. The theorem on reordering of absolute convergent series. Cauchy product of series.</w:t>
            </w:r>
          </w:p>
          <w:p w:rsidR="00EE64C6" w:rsidRPr="00F2724B" w:rsidRDefault="003114A7" w:rsidP="00F2724B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  <w:lang w:val="en-US" w:eastAsia="hu-HU"/>
              </w:rPr>
              <w:t xml:space="preserve">Some highlighted </w:t>
            </w:r>
            <w:r w:rsidRPr="00E87D53">
              <w:rPr>
                <w:b/>
                <w:color w:val="000000"/>
                <w:sz w:val="20"/>
                <w:lang w:val="en-US" w:eastAsia="hu-HU"/>
              </w:rPr>
              <w:t>functions</w:t>
            </w:r>
            <w:r>
              <w:rPr>
                <w:color w:val="000000"/>
                <w:sz w:val="20"/>
                <w:lang w:val="en-US" w:eastAsia="hu-HU"/>
              </w:rPr>
              <w:t>. (</w:t>
            </w:r>
            <w:r w:rsidRPr="00F2724B">
              <w:rPr>
                <w:color w:val="000000"/>
                <w:sz w:val="20"/>
                <w:lang w:val="en-US" w:eastAsia="hu-HU"/>
              </w:rPr>
              <w:t xml:space="preserve">Sign, absolute value, </w:t>
            </w:r>
            <w:r w:rsidR="00F2724B" w:rsidRPr="00F2724B">
              <w:rPr>
                <w:color w:val="222222"/>
                <w:sz w:val="20"/>
                <w:shd w:val="clear" w:color="auto" w:fill="FFFFFF"/>
              </w:rPr>
              <w:t>floor function/</w:t>
            </w:r>
            <w:r w:rsidR="00F2724B" w:rsidRPr="00F2724B">
              <w:rPr>
                <w:bCs/>
                <w:color w:val="222222"/>
                <w:sz w:val="20"/>
                <w:shd w:val="clear" w:color="auto" w:fill="FFFFFF"/>
              </w:rPr>
              <w:t xml:space="preserve">integer part </w:t>
            </w:r>
            <w:r w:rsidRPr="00F2724B">
              <w:rPr>
                <w:color w:val="000000"/>
                <w:sz w:val="20"/>
                <w:lang w:val="en-US" w:eastAsia="hu-HU"/>
              </w:rPr>
              <w:t>function</w:t>
            </w:r>
            <w:r w:rsidR="00F2724B" w:rsidRPr="00F2724B">
              <w:rPr>
                <w:color w:val="000000"/>
                <w:sz w:val="20"/>
                <w:lang w:val="en-US" w:eastAsia="hu-HU"/>
              </w:rPr>
              <w:t xml:space="preserve">, </w:t>
            </w:r>
            <w:r w:rsidR="00F2724B" w:rsidRPr="00F2724B">
              <w:rPr>
                <w:color w:val="222222"/>
                <w:sz w:val="20"/>
                <w:shd w:val="clear" w:color="auto" w:fill="FFFFFF"/>
              </w:rPr>
              <w:t>fractional part function</w:t>
            </w:r>
            <w:r w:rsidRPr="00F2724B">
              <w:rPr>
                <w:color w:val="000000"/>
                <w:sz w:val="20"/>
                <w:lang w:val="en-US" w:eastAsia="hu-HU"/>
              </w:rPr>
              <w:t>)</w:t>
            </w:r>
            <w:r w:rsidR="00F2724B">
              <w:rPr>
                <w:color w:val="000000"/>
                <w:sz w:val="20"/>
                <w:lang w:val="en-US" w:eastAsia="hu-HU"/>
              </w:rPr>
              <w:t xml:space="preserve"> Definition of Polynomials, notations. Binomial theorem. Operations of polynomials. Rational functions. Partial fraction decomposition. Power series. </w:t>
            </w:r>
            <w:r w:rsidR="00F2724B" w:rsidRPr="00F2724B">
              <w:rPr>
                <w:sz w:val="20"/>
              </w:rPr>
              <w:t>Cauchy-</w:t>
            </w:r>
            <w:proofErr w:type="spellStart"/>
            <w:r w:rsidR="00F2724B" w:rsidRPr="00F2724B">
              <w:rPr>
                <w:sz w:val="20"/>
              </w:rPr>
              <w:t>Hadamard</w:t>
            </w:r>
            <w:proofErr w:type="spellEnd"/>
            <w:r w:rsidR="00F2724B" w:rsidRPr="00F2724B">
              <w:rPr>
                <w:sz w:val="20"/>
              </w:rPr>
              <w:t xml:space="preserve"> theorem and corollaries. The notion of sum function. Operations.</w:t>
            </w:r>
            <w:r w:rsidR="00EE64C6" w:rsidRPr="00F2724B">
              <w:rPr>
                <w:sz w:val="20"/>
              </w:rPr>
              <w:t xml:space="preserve"> </w:t>
            </w:r>
            <w:r w:rsidR="00F2724B" w:rsidRPr="00F2724B">
              <w:rPr>
                <w:sz w:val="20"/>
              </w:rPr>
              <w:t xml:space="preserve">Transformation to a power series of other </w:t>
            </w:r>
            <w:proofErr w:type="spellStart"/>
            <w:r w:rsidR="00F2724B" w:rsidRPr="00F2724B">
              <w:rPr>
                <w:sz w:val="20"/>
              </w:rPr>
              <w:t>center</w:t>
            </w:r>
            <w:proofErr w:type="spellEnd"/>
            <w:r w:rsidR="00F2724B" w:rsidRPr="00F2724B">
              <w:rPr>
                <w:sz w:val="20"/>
              </w:rPr>
              <w:t xml:space="preserve"> of convergence.</w:t>
            </w:r>
          </w:p>
          <w:p w:rsidR="00666AA6" w:rsidRPr="00774D9D" w:rsidRDefault="00666AA6" w:rsidP="00F2724B">
            <w:pPr>
              <w:suppressAutoHyphens w:val="0"/>
              <w:autoSpaceDN w:val="0"/>
              <w:adjustRightInd w:val="0"/>
              <w:rPr>
                <w:lang w:eastAsia="hu-HU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C10AB9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lectures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lastRenderedPageBreak/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>.</w:t>
            </w:r>
            <w:r w:rsidR="00774D9D" w:rsidRPr="004E203A">
              <w:rPr>
                <w:lang w:val="en-GB"/>
              </w:rPr>
              <w:t xml:space="preserve"> </w:t>
            </w:r>
          </w:p>
          <w:p w:rsidR="00666AA6" w:rsidRPr="004E203A" w:rsidRDefault="00570C65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is a written preliminary exam. Preliminary exam g</w:t>
            </w:r>
            <w:r w:rsidR="00666AA6" w:rsidRPr="004E203A">
              <w:rPr>
                <w:rStyle w:val="Szvegtrzs2Char"/>
                <w:b w:val="0"/>
                <w:lang w:val="en-GB"/>
              </w:rPr>
              <w:t>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="00C10AB9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C10AB9">
              <w:rPr>
                <w:szCs w:val="20"/>
                <w:lang w:val="en-GB"/>
              </w:rPr>
              <w:t>6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C10AB9">
              <w:rPr>
                <w:szCs w:val="20"/>
                <w:lang w:val="en-GB"/>
              </w:rPr>
              <w:t>70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80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81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Default="00666AA6" w:rsidP="00774D9D">
            <w:pPr>
              <w:ind w:left="142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  <w:p w:rsidR="00570C65" w:rsidRPr="00774D9D" w:rsidRDefault="00570C65" w:rsidP="00570C65">
            <w:pPr>
              <w:ind w:left="142"/>
              <w:rPr>
                <w:lang w:val="en-GB"/>
              </w:rPr>
            </w:pPr>
            <w:r>
              <w:rPr>
                <w:szCs w:val="20"/>
              </w:rPr>
              <w:t>After successful preliminary exam there is an oral exam in 3 topics. The final grade is obtained from the arithmetic mean of the 4 grades, but only in case when all parts hit the acceptable measure.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5568FB">
              <w:rPr>
                <w:szCs w:val="20"/>
              </w:rPr>
              <w:t xml:space="preserve">Rudin, Walter. Principles of mathematical analysis. Vol. 3. New York: McGraw-Hill, 1964.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Stewart, James. Calculus: early transcendentals. Cengage Learning, 2015.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Stroyan, K. D. "A brief introduction to infinitesimal calculus." University of Iowa (2004). </w:t>
            </w:r>
          </w:p>
          <w:p w:rsidR="00323824" w:rsidRPr="004E203A" w:rsidRDefault="00570C65" w:rsidP="00570C65">
            <w:pPr>
              <w:autoSpaceDE/>
              <w:rPr>
                <w:szCs w:val="20"/>
                <w:lang w:val="en-GB"/>
              </w:rPr>
            </w:pPr>
            <w:r w:rsidRPr="00176480">
              <w:rPr>
                <w:szCs w:val="20"/>
              </w:rPr>
              <w:t>Lang, Serge. Undergraduate analysis. Springer Science &amp; Business Media, 2013.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  <w:bookmarkStart w:id="2" w:name="_GoBack"/>
        <w:bookmarkEnd w:id="2"/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570C65" w:rsidRDefault="00570C65" w:rsidP="00570C6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uppressAutoHyphens w:val="0"/>
              <w:autoSpaceDN w:val="0"/>
              <w:adjustRightInd w:val="0"/>
              <w:rPr>
                <w:szCs w:val="20"/>
                <w:lang w:val="hu" w:eastAsia="hu-HU"/>
              </w:rPr>
            </w:pPr>
            <w:r w:rsidRPr="00570C65">
              <w:rPr>
                <w:szCs w:val="20"/>
                <w:lang w:val="hu" w:eastAsia="hu-HU"/>
              </w:rPr>
              <w:t>Joel R. Hass, Christopher D. Heil, Maurice D. Weir. Thomas' Calculus, 14th Edition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570C65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>Dr. Margit PAP</w:t>
            </w:r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74D9D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16"/>
      <w:headerReference w:type="first" r:id="rId1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F9B" w:rsidRDefault="00D36F9B">
      <w:r>
        <w:separator/>
      </w:r>
    </w:p>
  </w:endnote>
  <w:endnote w:type="continuationSeparator" w:id="0">
    <w:p w:rsidR="00D36F9B" w:rsidRDefault="00D3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F9B" w:rsidRDefault="00D36F9B">
      <w:r>
        <w:separator/>
      </w:r>
    </w:p>
  </w:footnote>
  <w:footnote w:type="continuationSeparator" w:id="0">
    <w:p w:rsidR="00D36F9B" w:rsidRDefault="00D36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3B1D7B">
            <w:rPr>
              <w:rStyle w:val="Seitenzahl"/>
              <w:noProof/>
              <w:szCs w:val="20"/>
            </w:rPr>
            <w:t>1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36EEE"/>
    <w:rsid w:val="002B022E"/>
    <w:rsid w:val="002C53DB"/>
    <w:rsid w:val="003114A7"/>
    <w:rsid w:val="00323824"/>
    <w:rsid w:val="003B1D7B"/>
    <w:rsid w:val="003C1B9A"/>
    <w:rsid w:val="004A0145"/>
    <w:rsid w:val="004E203A"/>
    <w:rsid w:val="00570C65"/>
    <w:rsid w:val="00580334"/>
    <w:rsid w:val="006208EF"/>
    <w:rsid w:val="00666AA6"/>
    <w:rsid w:val="006965B3"/>
    <w:rsid w:val="006A33F8"/>
    <w:rsid w:val="006D2DFE"/>
    <w:rsid w:val="007208AA"/>
    <w:rsid w:val="00774A19"/>
    <w:rsid w:val="00774D9D"/>
    <w:rsid w:val="007C0487"/>
    <w:rsid w:val="007D6A24"/>
    <w:rsid w:val="00956E58"/>
    <w:rsid w:val="00962AF4"/>
    <w:rsid w:val="00C10AB9"/>
    <w:rsid w:val="00C2298C"/>
    <w:rsid w:val="00C310B9"/>
    <w:rsid w:val="00C505A4"/>
    <w:rsid w:val="00D36F9B"/>
    <w:rsid w:val="00D37BFC"/>
    <w:rsid w:val="00D86894"/>
    <w:rsid w:val="00E22441"/>
    <w:rsid w:val="00E26A17"/>
    <w:rsid w:val="00E87D53"/>
    <w:rsid w:val="00EE64C6"/>
    <w:rsid w:val="00F0495D"/>
    <w:rsid w:val="00F2724B"/>
    <w:rsid w:val="00FA1A93"/>
    <w:rsid w:val="00FA2BB3"/>
    <w:rsid w:val="00FC2C7C"/>
    <w:rsid w:val="00FD3616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2017-06-12T09:51:00Z</dcterms:created>
  <dcterms:modified xsi:type="dcterms:W3CDTF">2017-06-12T09:51:00Z</dcterms:modified>
</cp:coreProperties>
</file>