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FD9" w:rsidRDefault="00930FD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3"/>
        <w:gridCol w:w="2303"/>
        <w:gridCol w:w="1418"/>
        <w:gridCol w:w="1984"/>
        <w:gridCol w:w="1204"/>
      </w:tblGrid>
      <w:tr w:rsidR="00930FD9">
        <w:tc>
          <w:tcPr>
            <w:tcW w:w="9212" w:type="dxa"/>
            <w:gridSpan w:val="5"/>
            <w:tcBorders>
              <w:bottom w:val="single" w:sz="4" w:space="0" w:color="000000"/>
            </w:tcBorders>
            <w:shd w:val="clear" w:color="auto" w:fill="FFF2CC"/>
            <w:tcMar>
              <w:top w:w="57" w:type="dxa"/>
              <w:bottom w:w="57" w:type="dxa"/>
            </w:tcMar>
            <w:vAlign w:val="center"/>
          </w:tcPr>
          <w:p w:rsidR="00930FD9" w:rsidRDefault="00B96F2C">
            <w:r>
              <w:rPr>
                <w:b/>
              </w:rPr>
              <w:t xml:space="preserve">1. Course title: </w:t>
            </w:r>
            <w:r w:rsidR="002E6B65" w:rsidRPr="002E6B65">
              <w:t>Economic Geography</w:t>
            </w:r>
          </w:p>
        </w:tc>
      </w:tr>
      <w:tr w:rsidR="00930FD9">
        <w:tc>
          <w:tcPr>
            <w:tcW w:w="4606" w:type="dxa"/>
            <w:gridSpan w:val="2"/>
            <w:tcBorders>
              <w:top w:val="single" w:sz="4" w:space="0" w:color="000000"/>
            </w:tcBorders>
            <w:shd w:val="clear" w:color="auto" w:fill="FFFF00"/>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2. Code: </w:t>
            </w:r>
          </w:p>
        </w:tc>
        <w:tc>
          <w:tcPr>
            <w:tcW w:w="4606" w:type="dxa"/>
            <w:gridSpan w:val="3"/>
            <w:tcBorders>
              <w:top w:val="single" w:sz="4" w:space="0" w:color="000000"/>
            </w:tcBorders>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3. Type (lecture, seminar, laboratory): </w:t>
            </w:r>
            <w:r>
              <w:t>lecture</w:t>
            </w:r>
          </w:p>
        </w:tc>
      </w:tr>
      <w:tr w:rsidR="00930FD9">
        <w:tc>
          <w:tcPr>
            <w:tcW w:w="4606" w:type="dxa"/>
            <w:gridSpan w:val="2"/>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b/>
                <w:color w:val="000000"/>
              </w:rPr>
            </w:pPr>
            <w:r>
              <w:rPr>
                <w:b/>
                <w:color w:val="000000"/>
              </w:rPr>
              <w:t xml:space="preserve">4. Total of contact hours: </w:t>
            </w:r>
            <w:r w:rsidR="002E6B65">
              <w:t>52</w:t>
            </w:r>
            <w:r>
              <w:rPr>
                <w:color w:val="000000"/>
              </w:rPr>
              <w:t xml:space="preserve"> hours</w:t>
            </w:r>
          </w:p>
        </w:tc>
        <w:tc>
          <w:tcPr>
            <w:tcW w:w="4606" w:type="dxa"/>
            <w:gridSpan w:val="3"/>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5. Number of credits (ECTS): </w:t>
            </w:r>
            <w:r w:rsidR="002E6B65">
              <w:t>6</w:t>
            </w:r>
          </w:p>
        </w:tc>
      </w:tr>
      <w:tr w:rsidR="00930FD9">
        <w:tc>
          <w:tcPr>
            <w:tcW w:w="9212" w:type="dxa"/>
            <w:gridSpan w:val="5"/>
            <w:shd w:val="clear" w:color="auto" w:fill="FFF2CC"/>
            <w:tcMar>
              <w:top w:w="57" w:type="dxa"/>
              <w:bottom w:w="57" w:type="dxa"/>
            </w:tcMar>
          </w:tcPr>
          <w:p w:rsidR="00930FD9" w:rsidRDefault="00B96F2C">
            <w:pPr>
              <w:pBdr>
                <w:top w:val="nil"/>
                <w:left w:val="nil"/>
                <w:bottom w:val="nil"/>
                <w:right w:val="nil"/>
                <w:between w:val="nil"/>
              </w:pBdr>
              <w:jc w:val="both"/>
              <w:rPr>
                <w:b/>
                <w:color w:val="000000"/>
              </w:rPr>
            </w:pPr>
            <w:r>
              <w:rPr>
                <w:b/>
                <w:color w:val="000000"/>
              </w:rPr>
              <w:t xml:space="preserve">6. Pre-requisites (max. 3): </w:t>
            </w:r>
            <w:r>
              <w:rPr>
                <w:color w:val="000000"/>
              </w:rPr>
              <w:t>none</w:t>
            </w:r>
          </w:p>
        </w:tc>
      </w:tr>
      <w:tr w:rsidR="00930FD9">
        <w:tc>
          <w:tcPr>
            <w:tcW w:w="9212" w:type="dxa"/>
            <w:gridSpan w:val="5"/>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color w:val="000000"/>
              </w:rPr>
            </w:pPr>
            <w:r>
              <w:rPr>
                <w:b/>
                <w:color w:val="000000"/>
              </w:rPr>
              <w:t xml:space="preserve">7. Announced: </w:t>
            </w:r>
            <w:r>
              <w:rPr>
                <w:color w:val="000000"/>
              </w:rPr>
              <w:t>☒ autumn semester, ☐ spring semester, ☐ both semesters</w:t>
            </w:r>
          </w:p>
        </w:tc>
      </w:tr>
      <w:tr w:rsidR="00930FD9">
        <w:tc>
          <w:tcPr>
            <w:tcW w:w="9212" w:type="dxa"/>
            <w:gridSpan w:val="5"/>
            <w:tcMar>
              <w:top w:w="57" w:type="dxa"/>
              <w:bottom w:w="57" w:type="dxa"/>
            </w:tcMar>
            <w:vAlign w:val="center"/>
          </w:tcPr>
          <w:p w:rsidR="00930FD9" w:rsidRDefault="00B96F2C">
            <w:r>
              <w:rPr>
                <w:b/>
              </w:rPr>
              <w:t>8. Limit for participants:</w:t>
            </w:r>
            <w:r>
              <w:t xml:space="preserve"> </w:t>
            </w:r>
            <w:r w:rsidR="002E6B65" w:rsidRPr="002E6B65">
              <w:t>the maximum number of participants in the seminars is 24 per group</w:t>
            </w:r>
          </w:p>
        </w:tc>
      </w:tr>
      <w:tr w:rsidR="00930FD9">
        <w:tc>
          <w:tcPr>
            <w:tcW w:w="9212" w:type="dxa"/>
            <w:gridSpan w:val="5"/>
            <w:shd w:val="clear" w:color="auto" w:fill="FFF2CC"/>
            <w:tcMar>
              <w:top w:w="57" w:type="dxa"/>
              <w:bottom w:w="57" w:type="dxa"/>
            </w:tcMar>
            <w:vAlign w:val="center"/>
          </w:tcPr>
          <w:p w:rsidR="00930FD9" w:rsidRDefault="00B96F2C">
            <w:pPr>
              <w:pBdr>
                <w:top w:val="nil"/>
                <w:left w:val="nil"/>
                <w:bottom w:val="nil"/>
                <w:right w:val="nil"/>
                <w:between w:val="nil"/>
              </w:pBdr>
              <w:tabs>
                <w:tab w:val="center" w:pos="4536"/>
                <w:tab w:val="right" w:pos="9072"/>
              </w:tabs>
              <w:rPr>
                <w:b/>
                <w:color w:val="000000"/>
              </w:rPr>
            </w:pPr>
            <w:r>
              <w:rPr>
                <w:b/>
                <w:color w:val="000000"/>
              </w:rPr>
              <w:t xml:space="preserve">10. Instructor-in-charge (faculty, institute and department): </w:t>
            </w:r>
          </w:p>
          <w:p w:rsidR="00930FD9" w:rsidRDefault="00B96F2C">
            <w:pPr>
              <w:pBdr>
                <w:top w:val="nil"/>
                <w:left w:val="nil"/>
                <w:bottom w:val="nil"/>
                <w:right w:val="nil"/>
                <w:between w:val="nil"/>
              </w:pBdr>
              <w:tabs>
                <w:tab w:val="center" w:pos="4536"/>
                <w:tab w:val="right" w:pos="9072"/>
              </w:tabs>
              <w:ind w:left="708"/>
              <w:rPr>
                <w:color w:val="000000"/>
              </w:rPr>
            </w:pPr>
            <w:proofErr w:type="spellStart"/>
            <w:r>
              <w:t>András</w:t>
            </w:r>
            <w:proofErr w:type="spellEnd"/>
            <w:r>
              <w:t xml:space="preserve"> TRÓCSÁNYI</w:t>
            </w:r>
            <w:r>
              <w:rPr>
                <w:color w:val="000000"/>
              </w:rPr>
              <w:t xml:space="preserve">, PhD (FS, Institute of Geography, Department of </w:t>
            </w:r>
            <w:r>
              <w:t>Human Geography and Urban Studies</w:t>
            </w:r>
            <w:r>
              <w:rPr>
                <w:color w:val="000000"/>
              </w:rPr>
              <w:t>)</w:t>
            </w:r>
          </w:p>
        </w:tc>
      </w:tr>
      <w:tr w:rsidR="002E6B65" w:rsidTr="002E6B65">
        <w:trPr>
          <w:trHeight w:val="25"/>
        </w:trPr>
        <w:tc>
          <w:tcPr>
            <w:tcW w:w="4606" w:type="dxa"/>
            <w:gridSpan w:val="2"/>
            <w:vMerge w:val="restart"/>
            <w:tcMar>
              <w:top w:w="57" w:type="dxa"/>
              <w:bottom w:w="57" w:type="dxa"/>
            </w:tcMar>
            <w:vAlign w:val="center"/>
          </w:tcPr>
          <w:p w:rsidR="002E6B65" w:rsidRDefault="002E6B65">
            <w:pPr>
              <w:pBdr>
                <w:top w:val="nil"/>
                <w:left w:val="nil"/>
                <w:bottom w:val="nil"/>
                <w:right w:val="nil"/>
                <w:between w:val="nil"/>
              </w:pBdr>
              <w:jc w:val="both"/>
              <w:rPr>
                <w:b/>
                <w:color w:val="000000"/>
              </w:rPr>
            </w:pPr>
            <w:r>
              <w:rPr>
                <w:b/>
                <w:color w:val="000000"/>
              </w:rPr>
              <w:t xml:space="preserve">11. Instructor(s) and percentage: </w:t>
            </w:r>
          </w:p>
        </w:tc>
        <w:tc>
          <w:tcPr>
            <w:tcW w:w="3402" w:type="dxa"/>
            <w:gridSpan w:val="2"/>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rPr>
                <w:color w:val="000000"/>
              </w:rPr>
            </w:pPr>
            <w:proofErr w:type="spellStart"/>
            <w:r>
              <w:t>András</w:t>
            </w:r>
            <w:proofErr w:type="spellEnd"/>
            <w:r>
              <w:t xml:space="preserve"> TRÓCSÁNYI</w:t>
            </w:r>
          </w:p>
        </w:tc>
        <w:tc>
          <w:tcPr>
            <w:tcW w:w="1204" w:type="dxa"/>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jc w:val="center"/>
              <w:rPr>
                <w:color w:val="000000"/>
              </w:rPr>
            </w:pPr>
            <w:r>
              <w:t>10</w:t>
            </w:r>
            <w:r>
              <w:rPr>
                <w:color w:val="000000"/>
              </w:rPr>
              <w:t>%</w:t>
            </w:r>
          </w:p>
        </w:tc>
      </w:tr>
      <w:tr w:rsidR="002E6B65">
        <w:tc>
          <w:tcPr>
            <w:tcW w:w="4606" w:type="dxa"/>
            <w:gridSpan w:val="2"/>
            <w:vMerge/>
            <w:tcMar>
              <w:top w:w="57" w:type="dxa"/>
              <w:bottom w:w="57" w:type="dxa"/>
            </w:tcMar>
            <w:vAlign w:val="center"/>
          </w:tcPr>
          <w:p w:rsidR="002E6B65" w:rsidRDefault="002E6B65">
            <w:pPr>
              <w:pBdr>
                <w:top w:val="nil"/>
                <w:left w:val="nil"/>
                <w:bottom w:val="nil"/>
                <w:right w:val="nil"/>
                <w:between w:val="nil"/>
              </w:pBdr>
              <w:jc w:val="both"/>
              <w:rPr>
                <w:b/>
                <w:color w:val="000000"/>
              </w:rPr>
            </w:pPr>
          </w:p>
        </w:tc>
        <w:tc>
          <w:tcPr>
            <w:tcW w:w="3402" w:type="dxa"/>
            <w:gridSpan w:val="2"/>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pPr>
            <w:r>
              <w:t>Levente B. ALPEK</w:t>
            </w:r>
          </w:p>
        </w:tc>
        <w:tc>
          <w:tcPr>
            <w:tcW w:w="1204" w:type="dxa"/>
            <w:tcBorders>
              <w:bottom w:val="single" w:sz="4" w:space="0" w:color="000000"/>
            </w:tcBorders>
            <w:tcMar>
              <w:top w:w="57" w:type="dxa"/>
              <w:bottom w:w="57" w:type="dxa"/>
            </w:tcMar>
            <w:vAlign w:val="center"/>
          </w:tcPr>
          <w:p w:rsidR="002E6B65" w:rsidRDefault="002E6B65">
            <w:pPr>
              <w:pBdr>
                <w:top w:val="nil"/>
                <w:left w:val="nil"/>
                <w:bottom w:val="nil"/>
                <w:right w:val="nil"/>
                <w:between w:val="nil"/>
              </w:pBdr>
              <w:tabs>
                <w:tab w:val="center" w:pos="4536"/>
                <w:tab w:val="right" w:pos="9072"/>
              </w:tabs>
              <w:jc w:val="center"/>
            </w:pPr>
            <w:r>
              <w:t>90%</w:t>
            </w:r>
          </w:p>
        </w:tc>
      </w:tr>
      <w:tr w:rsidR="00930FD9">
        <w:tc>
          <w:tcPr>
            <w:tcW w:w="9212" w:type="dxa"/>
            <w:gridSpan w:val="5"/>
            <w:shd w:val="clear" w:color="auto" w:fill="FFF2CC"/>
            <w:tcMar>
              <w:top w:w="57" w:type="dxa"/>
              <w:bottom w:w="57" w:type="dxa"/>
            </w:tcMar>
            <w:vAlign w:val="center"/>
          </w:tcPr>
          <w:p w:rsidR="00930FD9" w:rsidRDefault="00B96F2C">
            <w:pPr>
              <w:rPr>
                <w:b/>
              </w:rPr>
            </w:pPr>
            <w:r>
              <w:rPr>
                <w:b/>
              </w:rPr>
              <w:t xml:space="preserve">12. Language: </w:t>
            </w:r>
            <w:r>
              <w:t>English</w:t>
            </w:r>
          </w:p>
        </w:tc>
      </w:tr>
      <w:tr w:rsidR="00930FD9">
        <w:tc>
          <w:tcPr>
            <w:tcW w:w="9212" w:type="dxa"/>
            <w:gridSpan w:val="5"/>
            <w:tcMar>
              <w:top w:w="57" w:type="dxa"/>
              <w:bottom w:w="57" w:type="dxa"/>
            </w:tcMar>
          </w:tcPr>
          <w:p w:rsidR="00930FD9" w:rsidRDefault="00B96F2C">
            <w:pPr>
              <w:pBdr>
                <w:top w:val="nil"/>
                <w:left w:val="nil"/>
                <w:bottom w:val="nil"/>
                <w:right w:val="nil"/>
                <w:between w:val="nil"/>
              </w:pBdr>
              <w:jc w:val="both"/>
              <w:rPr>
                <w:b/>
                <w:color w:val="000000"/>
              </w:rPr>
            </w:pPr>
            <w:r>
              <w:rPr>
                <w:b/>
                <w:color w:val="000000"/>
              </w:rPr>
              <w:t xml:space="preserve">13. Course objectives and learning outcomes: </w:t>
            </w:r>
          </w:p>
          <w:p w:rsidR="004F176A" w:rsidRPr="004F176A" w:rsidRDefault="004F176A" w:rsidP="004F176A">
            <w:pPr>
              <w:spacing w:before="240" w:after="240" w:line="276" w:lineRule="auto"/>
              <w:jc w:val="both"/>
            </w:pPr>
            <w:r w:rsidRPr="0083491B">
              <w:t xml:space="preserve">The aim of the </w:t>
            </w:r>
            <w:r w:rsidRPr="004F176A">
              <w:t xml:space="preserve">course is to introduce the students into the world of economic geography, providing an insight into its structure, research topics, current issues and methods. Its primary goal is to present the structure and the historical background of nowadays economies. It is also important to give an insight about the new global disciplines of economic geography. After the successful completion of the course, students </w:t>
            </w:r>
            <w:proofErr w:type="gramStart"/>
            <w:r w:rsidRPr="004F176A">
              <w:t>are expected</w:t>
            </w:r>
            <w:proofErr w:type="gramEnd"/>
            <w:r w:rsidRPr="004F176A">
              <w:t xml:space="preserve"> to be able to understand many of the models of economic geography and its theory. It is also among the missions to introduce the practical, applied aspect of economic geography, in order to make practical sense of the topics. The student will be able to collect data, make economic geographic </w:t>
            </w:r>
            <w:r w:rsidR="003F7303" w:rsidRPr="004F176A">
              <w:t>analyses</w:t>
            </w:r>
            <w:r w:rsidRPr="004F176A">
              <w:t xml:space="preserve"> and understand the literature of the economic geography independently.</w:t>
            </w:r>
          </w:p>
          <w:p w:rsidR="009C2DBD" w:rsidRPr="009C2DBD" w:rsidRDefault="004F176A" w:rsidP="003F7303">
            <w:pPr>
              <w:spacing w:before="240" w:after="240" w:line="276" w:lineRule="auto"/>
              <w:jc w:val="both"/>
            </w:pPr>
            <w:r w:rsidRPr="004F176A">
              <w:t>Learning outcomes: students are going to obtain a basic overview and a useful knowledge in the discussed disciplines of economic geography. They can make basic analysis of the economy and understand the relationship of its fields. On successful completion of the course students are expected to be</w:t>
            </w:r>
            <w:r w:rsidRPr="009C2DBD">
              <w:t xml:space="preserve"> able to comprehend the main trends and models of economy and compare the </w:t>
            </w:r>
            <w:r>
              <w:t>countries</w:t>
            </w:r>
            <w:r w:rsidRPr="009C2DBD">
              <w:t xml:space="preserve"> by </w:t>
            </w:r>
            <w:r>
              <w:t>many</w:t>
            </w:r>
            <w:r w:rsidRPr="009C2DBD">
              <w:t xml:space="preserve"> dimensions of their economic activity</w:t>
            </w:r>
            <w:r>
              <w:t xml:space="preserve">. </w:t>
            </w:r>
            <w:r w:rsidR="003F7303">
              <w:t>S</w:t>
            </w:r>
            <w:r w:rsidRPr="009C2DBD">
              <w:t>tudents will be able to present the economic structure of a country.</w:t>
            </w:r>
          </w:p>
        </w:tc>
      </w:tr>
      <w:tr w:rsidR="00930FD9" w:rsidTr="004F176A">
        <w:trPr>
          <w:trHeight w:val="2627"/>
        </w:trPr>
        <w:tc>
          <w:tcPr>
            <w:tcW w:w="9212" w:type="dxa"/>
            <w:gridSpan w:val="5"/>
            <w:tcMar>
              <w:top w:w="57" w:type="dxa"/>
              <w:bottom w:w="57" w:type="dxa"/>
            </w:tcMar>
          </w:tcPr>
          <w:p w:rsidR="00930FD9" w:rsidRDefault="00B96F2C" w:rsidP="00552BD6">
            <w:pPr>
              <w:pBdr>
                <w:top w:val="nil"/>
                <w:left w:val="nil"/>
                <w:bottom w:val="nil"/>
                <w:right w:val="nil"/>
                <w:between w:val="nil"/>
              </w:pBdr>
              <w:jc w:val="both"/>
              <w:rPr>
                <w:b/>
              </w:rPr>
            </w:pPr>
            <w:r w:rsidRPr="00552BD6">
              <w:rPr>
                <w:b/>
              </w:rPr>
              <w:t>14. Course outline / Milestones</w:t>
            </w:r>
          </w:p>
          <w:p w:rsidR="00F673D9" w:rsidRDefault="00F673D9" w:rsidP="00552BD6">
            <w:pPr>
              <w:pBdr>
                <w:top w:val="nil"/>
                <w:left w:val="nil"/>
                <w:bottom w:val="nil"/>
                <w:right w:val="nil"/>
                <w:between w:val="nil"/>
              </w:pBdr>
              <w:jc w:val="both"/>
              <w:rPr>
                <w:b/>
              </w:rPr>
            </w:pPr>
          </w:p>
          <w:p w:rsidR="00930FD9" w:rsidRDefault="004F176A" w:rsidP="00552BD6">
            <w:pPr>
              <w:pBdr>
                <w:top w:val="nil"/>
                <w:left w:val="nil"/>
                <w:bottom w:val="nil"/>
                <w:right w:val="nil"/>
                <w:between w:val="nil"/>
              </w:pBdr>
              <w:tabs>
                <w:tab w:val="left" w:pos="1276"/>
              </w:tabs>
              <w:jc w:val="both"/>
              <w:rPr>
                <w:b/>
              </w:rPr>
            </w:pPr>
            <w:r w:rsidRPr="004F176A">
              <w:rPr>
                <w:b/>
              </w:rPr>
              <w:t>Milestones of the lecture</w:t>
            </w:r>
          </w:p>
          <w:p w:rsidR="004F176A" w:rsidRPr="00552BD6" w:rsidRDefault="004F176A" w:rsidP="002916EB">
            <w:pPr>
              <w:pBdr>
                <w:top w:val="nil"/>
                <w:left w:val="nil"/>
                <w:bottom w:val="nil"/>
                <w:right w:val="nil"/>
                <w:between w:val="nil"/>
              </w:pBdr>
              <w:ind w:left="921" w:hanging="921"/>
              <w:jc w:val="both"/>
            </w:pPr>
          </w:p>
          <w:p w:rsidR="004F176A" w:rsidRPr="004F176A" w:rsidRDefault="004F176A" w:rsidP="002916EB">
            <w:pPr>
              <w:numPr>
                <w:ilvl w:val="0"/>
                <w:numId w:val="2"/>
              </w:numPr>
              <w:ind w:left="921" w:hanging="921"/>
              <w:jc w:val="both"/>
            </w:pPr>
            <w:r w:rsidRPr="004F176A">
              <w:t>Introduction to the requirements of the subject. The theoretical concept of economic geography and its place in the system of sciences. The structure of the economy and the sectoral distribution of the economic activity</w:t>
            </w:r>
          </w:p>
          <w:p w:rsidR="004F176A" w:rsidRPr="004F176A" w:rsidRDefault="004F176A" w:rsidP="002916EB">
            <w:pPr>
              <w:numPr>
                <w:ilvl w:val="0"/>
                <w:numId w:val="2"/>
              </w:numPr>
              <w:ind w:left="921" w:hanging="921"/>
              <w:jc w:val="both"/>
            </w:pPr>
            <w:proofErr w:type="gramStart"/>
            <w:r w:rsidRPr="004F176A">
              <w:t>The model of economy and the role of the place and distance in the distribution of economic activity</w:t>
            </w:r>
            <w:r w:rsidR="003F7303">
              <w:t xml:space="preserve">, </w:t>
            </w:r>
            <w:r w:rsidRPr="004F176A">
              <w:t>the interactions of economic actors.</w:t>
            </w:r>
            <w:proofErr w:type="gramEnd"/>
            <w:r w:rsidRPr="004F176A">
              <w:t xml:space="preserve"> Economic geographic aspects of the spatial distribution of resources (international trade, motivations, trade theories)</w:t>
            </w:r>
          </w:p>
          <w:p w:rsidR="004F176A" w:rsidRPr="004F176A" w:rsidRDefault="004F176A" w:rsidP="002916EB">
            <w:pPr>
              <w:numPr>
                <w:ilvl w:val="0"/>
                <w:numId w:val="2"/>
              </w:numPr>
              <w:ind w:left="921" w:hanging="921"/>
              <w:jc w:val="both"/>
            </w:pPr>
            <w:proofErr w:type="gramStart"/>
            <w:r w:rsidRPr="004F176A">
              <w:t>International division of labour.</w:t>
            </w:r>
            <w:proofErr w:type="gramEnd"/>
            <w:r w:rsidRPr="004F176A">
              <w:t xml:space="preserve"> The flow of capital from the view of economic geography</w:t>
            </w:r>
          </w:p>
          <w:p w:rsidR="004F176A" w:rsidRPr="004F176A" w:rsidRDefault="004F176A" w:rsidP="002916EB">
            <w:pPr>
              <w:numPr>
                <w:ilvl w:val="0"/>
                <w:numId w:val="2"/>
              </w:numPr>
              <w:ind w:left="921" w:hanging="921"/>
              <w:jc w:val="both"/>
            </w:pPr>
            <w:proofErr w:type="gramStart"/>
            <w:r w:rsidRPr="004F176A">
              <w:t>Territorial aspects and periods of economic development (the ways of overcoming space, the role of technology and innovation, the role of environment) I.</w:t>
            </w:r>
            <w:proofErr w:type="gramEnd"/>
            <w:r w:rsidRPr="004F176A">
              <w:t xml:space="preserve"> The historical and recent forms of economy</w:t>
            </w:r>
          </w:p>
          <w:p w:rsidR="004F176A" w:rsidRPr="004F176A" w:rsidRDefault="004F176A" w:rsidP="002916EB">
            <w:pPr>
              <w:numPr>
                <w:ilvl w:val="0"/>
                <w:numId w:val="2"/>
              </w:numPr>
              <w:ind w:left="921" w:hanging="921"/>
              <w:jc w:val="both"/>
            </w:pPr>
            <w:proofErr w:type="gramStart"/>
            <w:r w:rsidRPr="004F176A">
              <w:t>Territorial aspects and periods of economic development (the global-local paradox, national economies in the global space) II.</w:t>
            </w:r>
            <w:proofErr w:type="gramEnd"/>
            <w:r w:rsidRPr="004F176A">
              <w:t xml:space="preserve"> Globalisation and the emergence of the world economy</w:t>
            </w:r>
          </w:p>
          <w:p w:rsidR="004F176A" w:rsidRPr="004F176A" w:rsidRDefault="004F176A" w:rsidP="002916EB">
            <w:pPr>
              <w:numPr>
                <w:ilvl w:val="0"/>
                <w:numId w:val="2"/>
              </w:numPr>
              <w:ind w:left="921" w:hanging="921"/>
              <w:jc w:val="both"/>
            </w:pPr>
            <w:r w:rsidRPr="004F176A">
              <w:t>The role of natural resources in the formation of the spatial structure of the economy, with special regard to the role of mineral resources and energy carriers</w:t>
            </w:r>
          </w:p>
          <w:p w:rsidR="004F176A" w:rsidRPr="004F176A" w:rsidRDefault="004F176A" w:rsidP="002916EB">
            <w:pPr>
              <w:numPr>
                <w:ilvl w:val="0"/>
                <w:numId w:val="2"/>
              </w:numPr>
              <w:ind w:left="921" w:hanging="921"/>
              <w:jc w:val="both"/>
            </w:pPr>
            <w:r w:rsidRPr="004F176A">
              <w:t>The quantitative and qualitative factors of population and their connections in the view of economic geography</w:t>
            </w:r>
          </w:p>
          <w:p w:rsidR="004F176A" w:rsidRPr="004F176A" w:rsidRDefault="004F176A" w:rsidP="002916EB">
            <w:pPr>
              <w:numPr>
                <w:ilvl w:val="0"/>
                <w:numId w:val="2"/>
              </w:numPr>
              <w:ind w:left="921" w:hanging="921"/>
              <w:jc w:val="both"/>
            </w:pPr>
            <w:r w:rsidRPr="004F176A">
              <w:t>Spatial distribution and factors of agriculture in a worldwide context</w:t>
            </w:r>
          </w:p>
          <w:p w:rsidR="004F176A" w:rsidRPr="004F176A" w:rsidRDefault="004F176A" w:rsidP="002916EB">
            <w:pPr>
              <w:numPr>
                <w:ilvl w:val="0"/>
                <w:numId w:val="2"/>
              </w:numPr>
              <w:ind w:left="921" w:hanging="921"/>
              <w:jc w:val="both"/>
            </w:pPr>
            <w:proofErr w:type="gramStart"/>
            <w:r w:rsidRPr="004F176A">
              <w:t>The changing spatial distribution of the industry.</w:t>
            </w:r>
            <w:proofErr w:type="gramEnd"/>
            <w:r w:rsidRPr="004F176A">
              <w:t xml:space="preserve"> Theoretical issues of industrial location choice and the role of global value chains. Territorial consequences of industrial restructuring</w:t>
            </w:r>
          </w:p>
          <w:p w:rsidR="004F176A" w:rsidRPr="004F176A" w:rsidRDefault="004F176A" w:rsidP="002916EB">
            <w:pPr>
              <w:numPr>
                <w:ilvl w:val="0"/>
                <w:numId w:val="2"/>
              </w:numPr>
              <w:ind w:left="921" w:hanging="921"/>
              <w:jc w:val="both"/>
            </w:pPr>
            <w:proofErr w:type="gramStart"/>
            <w:r w:rsidRPr="004F176A">
              <w:t>The phenomenon of tertiarization in the economy.</w:t>
            </w:r>
            <w:proofErr w:type="gramEnd"/>
            <w:r w:rsidRPr="004F176A">
              <w:t xml:space="preserve"> Spatial disparities and the social impact of occupational restructuring. The role of research and innovation in the development of economy</w:t>
            </w:r>
          </w:p>
          <w:p w:rsidR="004F176A" w:rsidRPr="004F176A" w:rsidRDefault="004F176A" w:rsidP="002916EB">
            <w:pPr>
              <w:numPr>
                <w:ilvl w:val="0"/>
                <w:numId w:val="2"/>
              </w:numPr>
              <w:ind w:left="921" w:hanging="921"/>
              <w:jc w:val="both"/>
            </w:pPr>
            <w:proofErr w:type="gramStart"/>
            <w:r w:rsidRPr="004F176A">
              <w:t>The role of communication and transport in the global economy.</w:t>
            </w:r>
            <w:proofErr w:type="gramEnd"/>
            <w:r w:rsidRPr="004F176A">
              <w:t xml:space="preserve"> Accessibility as a factor of competitiveness</w:t>
            </w:r>
          </w:p>
          <w:p w:rsidR="004F176A" w:rsidRPr="00552BD6" w:rsidRDefault="004F176A" w:rsidP="002916EB">
            <w:pPr>
              <w:numPr>
                <w:ilvl w:val="0"/>
                <w:numId w:val="2"/>
              </w:numPr>
              <w:ind w:left="921" w:hanging="921"/>
              <w:jc w:val="both"/>
            </w:pPr>
            <w:proofErr w:type="gramStart"/>
            <w:r w:rsidRPr="00552BD6">
              <w:lastRenderedPageBreak/>
              <w:t>Tourism as a pillar of the service-based economy.</w:t>
            </w:r>
            <w:proofErr w:type="gramEnd"/>
            <w:r w:rsidRPr="00552BD6">
              <w:t xml:space="preserve"> The concept, system</w:t>
            </w:r>
            <w:r>
              <w:t xml:space="preserve"> </w:t>
            </w:r>
            <w:r w:rsidRPr="00552BD6">
              <w:t>and global trends of tourism</w:t>
            </w:r>
          </w:p>
          <w:p w:rsidR="004F176A" w:rsidRDefault="004F176A" w:rsidP="002916EB">
            <w:pPr>
              <w:numPr>
                <w:ilvl w:val="0"/>
                <w:numId w:val="2"/>
              </w:numPr>
              <w:ind w:left="921" w:hanging="921"/>
              <w:jc w:val="both"/>
            </w:pPr>
            <w:r>
              <w:t>The role of e</w:t>
            </w:r>
            <w:r w:rsidRPr="00552BD6">
              <w:t>conomic policy</w:t>
            </w:r>
            <w:r>
              <w:t xml:space="preserve"> and</w:t>
            </w:r>
            <w:r w:rsidRPr="00552BD6">
              <w:t xml:space="preserve"> regional policy</w:t>
            </w:r>
            <w:r>
              <w:t xml:space="preserve"> in the forming of the territorial distribution of economy</w:t>
            </w:r>
          </w:p>
          <w:p w:rsidR="00F673D9" w:rsidRDefault="00F673D9" w:rsidP="004F176A">
            <w:pPr>
              <w:jc w:val="both"/>
            </w:pPr>
          </w:p>
          <w:p w:rsidR="00F673D9" w:rsidRPr="00F673D9" w:rsidRDefault="00537FDA" w:rsidP="00F673D9">
            <w:pPr>
              <w:pBdr>
                <w:top w:val="nil"/>
                <w:left w:val="nil"/>
                <w:bottom w:val="nil"/>
                <w:right w:val="nil"/>
                <w:between w:val="nil"/>
              </w:pBdr>
              <w:jc w:val="both"/>
              <w:rPr>
                <w:b/>
              </w:rPr>
            </w:pPr>
            <w:r w:rsidRPr="004F176A">
              <w:rPr>
                <w:b/>
              </w:rPr>
              <w:t xml:space="preserve">Milestones of the </w:t>
            </w:r>
            <w:r w:rsidR="00F673D9">
              <w:rPr>
                <w:b/>
              </w:rPr>
              <w:t>seminar</w:t>
            </w:r>
          </w:p>
          <w:p w:rsidR="00F673D9" w:rsidRDefault="00F673D9" w:rsidP="00F673D9">
            <w:pPr>
              <w:ind w:left="915" w:hanging="915"/>
              <w:jc w:val="both"/>
            </w:pPr>
          </w:p>
          <w:p w:rsidR="004F176A" w:rsidRDefault="004F176A" w:rsidP="002916EB">
            <w:pPr>
              <w:numPr>
                <w:ilvl w:val="0"/>
                <w:numId w:val="10"/>
              </w:numPr>
              <w:ind w:left="921" w:hanging="921"/>
              <w:jc w:val="both"/>
            </w:pPr>
            <w:r>
              <w:t xml:space="preserve">Introduction. Assignment and </w:t>
            </w:r>
            <w:r w:rsidR="003F7303">
              <w:t>schedule</w:t>
            </w:r>
            <w:r>
              <w:t xml:space="preserve"> of tasks</w:t>
            </w:r>
          </w:p>
          <w:p w:rsidR="004F176A" w:rsidRDefault="004F176A" w:rsidP="002916EB">
            <w:pPr>
              <w:numPr>
                <w:ilvl w:val="0"/>
                <w:numId w:val="10"/>
              </w:numPr>
              <w:ind w:left="921" w:hanging="921"/>
              <w:jc w:val="both"/>
            </w:pPr>
            <w:r>
              <w:t xml:space="preserve">Different sectoral structure of the economy </w:t>
            </w:r>
          </w:p>
          <w:p w:rsidR="004F176A" w:rsidRDefault="004F176A" w:rsidP="002916EB">
            <w:pPr>
              <w:numPr>
                <w:ilvl w:val="0"/>
                <w:numId w:val="10"/>
              </w:numPr>
              <w:ind w:left="921" w:hanging="921"/>
              <w:jc w:val="both"/>
            </w:pPr>
            <w:r>
              <w:t>Foreign trade and capital movements in today’s global economy</w:t>
            </w:r>
          </w:p>
          <w:p w:rsidR="004F176A" w:rsidRDefault="004F176A" w:rsidP="002916EB">
            <w:pPr>
              <w:numPr>
                <w:ilvl w:val="0"/>
                <w:numId w:val="10"/>
              </w:numPr>
              <w:ind w:left="921" w:hanging="921"/>
              <w:jc w:val="both"/>
            </w:pPr>
            <w:r>
              <w:t>The role of colonization in the development of the world economy</w:t>
            </w:r>
          </w:p>
          <w:p w:rsidR="004F176A" w:rsidRPr="004F176A" w:rsidRDefault="004F176A" w:rsidP="002916EB">
            <w:pPr>
              <w:numPr>
                <w:ilvl w:val="0"/>
                <w:numId w:val="10"/>
              </w:numPr>
              <w:ind w:left="921" w:hanging="921"/>
              <w:jc w:val="both"/>
            </w:pPr>
            <w:r>
              <w:t xml:space="preserve">The 2008/09 world </w:t>
            </w:r>
            <w:r w:rsidRPr="004F176A">
              <w:t>economic crisis and subsequent effects</w:t>
            </w:r>
          </w:p>
          <w:p w:rsidR="004F176A" w:rsidRPr="004F176A" w:rsidRDefault="004F176A" w:rsidP="002916EB">
            <w:pPr>
              <w:numPr>
                <w:ilvl w:val="0"/>
                <w:numId w:val="10"/>
              </w:numPr>
              <w:ind w:left="921" w:hanging="921"/>
              <w:jc w:val="both"/>
            </w:pPr>
            <w:proofErr w:type="gramStart"/>
            <w:r w:rsidRPr="004F176A">
              <w:t>The effect of mineral wealth on the development of national economies.</w:t>
            </w:r>
            <w:proofErr w:type="gramEnd"/>
            <w:r w:rsidRPr="004F176A">
              <w:t xml:space="preserve"> The role of the commodity producing countries in the world economy</w:t>
            </w:r>
          </w:p>
          <w:p w:rsidR="004F176A" w:rsidRPr="004F176A" w:rsidRDefault="004F176A" w:rsidP="002916EB">
            <w:pPr>
              <w:numPr>
                <w:ilvl w:val="0"/>
                <w:numId w:val="10"/>
              </w:numPr>
              <w:ind w:left="921" w:hanging="921"/>
              <w:jc w:val="both"/>
            </w:pPr>
            <w:proofErr w:type="gramStart"/>
            <w:r w:rsidRPr="004F176A">
              <w:t>The challenges of an aging society through the example of Europe.</w:t>
            </w:r>
            <w:proofErr w:type="gramEnd"/>
            <w:r w:rsidRPr="004F176A">
              <w:t xml:space="preserve"> The changing role of human resources, immigration and the labour market</w:t>
            </w:r>
          </w:p>
          <w:p w:rsidR="004F176A" w:rsidRPr="004F176A" w:rsidRDefault="004F176A" w:rsidP="002916EB">
            <w:pPr>
              <w:numPr>
                <w:ilvl w:val="0"/>
                <w:numId w:val="10"/>
              </w:numPr>
              <w:ind w:left="921" w:hanging="921"/>
              <w:jc w:val="both"/>
            </w:pPr>
            <w:r w:rsidRPr="004F176A">
              <w:t>The role and structure of agriculture in developed and underdeveloped countries</w:t>
            </w:r>
          </w:p>
          <w:p w:rsidR="004F176A" w:rsidRPr="004F176A" w:rsidRDefault="004F176A" w:rsidP="002916EB">
            <w:pPr>
              <w:numPr>
                <w:ilvl w:val="0"/>
                <w:numId w:val="10"/>
              </w:numPr>
              <w:ind w:left="921" w:hanging="921"/>
              <w:jc w:val="both"/>
            </w:pPr>
            <w:r w:rsidRPr="004F176A">
              <w:t>Modern industrialization of Asia, Japan and subsequent waves of countries</w:t>
            </w:r>
          </w:p>
          <w:p w:rsidR="004F176A" w:rsidRPr="004F176A" w:rsidRDefault="004F176A" w:rsidP="002916EB">
            <w:pPr>
              <w:numPr>
                <w:ilvl w:val="0"/>
                <w:numId w:val="10"/>
              </w:numPr>
              <w:ind w:left="921" w:hanging="921"/>
              <w:jc w:val="both"/>
            </w:pPr>
            <w:r w:rsidRPr="004F176A">
              <w:t>The role of innovation, research and development in the world economy</w:t>
            </w:r>
          </w:p>
          <w:p w:rsidR="004F176A" w:rsidRPr="004F176A" w:rsidRDefault="004F176A" w:rsidP="002916EB">
            <w:pPr>
              <w:numPr>
                <w:ilvl w:val="0"/>
                <w:numId w:val="10"/>
              </w:numPr>
              <w:ind w:left="921" w:hanging="921"/>
              <w:jc w:val="both"/>
            </w:pPr>
            <w:r w:rsidRPr="004F176A">
              <w:t>The role of infrastructure development, in the view of semi-peripheral countries</w:t>
            </w:r>
          </w:p>
          <w:p w:rsidR="004F176A" w:rsidRPr="004F176A" w:rsidRDefault="004F176A" w:rsidP="002916EB">
            <w:pPr>
              <w:numPr>
                <w:ilvl w:val="0"/>
                <w:numId w:val="10"/>
              </w:numPr>
              <w:ind w:left="921" w:hanging="921"/>
              <w:jc w:val="both"/>
            </w:pPr>
            <w:proofErr w:type="gramStart"/>
            <w:r w:rsidRPr="004F176A">
              <w:t>Characteristics of tourism-based economies.</w:t>
            </w:r>
            <w:proofErr w:type="gramEnd"/>
            <w:r w:rsidRPr="004F176A">
              <w:t xml:space="preserve"> Specific forms of a service-based economy</w:t>
            </w:r>
          </w:p>
          <w:p w:rsidR="00F673D9" w:rsidRPr="00552BD6" w:rsidRDefault="004F176A" w:rsidP="003F7303">
            <w:pPr>
              <w:numPr>
                <w:ilvl w:val="0"/>
                <w:numId w:val="10"/>
              </w:numPr>
              <w:ind w:left="921" w:hanging="921"/>
              <w:jc w:val="both"/>
            </w:pPr>
            <w:r w:rsidRPr="004F176A">
              <w:t>Evaluation and closing of the semester</w:t>
            </w:r>
          </w:p>
        </w:tc>
      </w:tr>
      <w:tr w:rsidR="00930FD9">
        <w:tc>
          <w:tcPr>
            <w:tcW w:w="9212" w:type="dxa"/>
            <w:gridSpan w:val="5"/>
            <w:tcMar>
              <w:top w:w="57" w:type="dxa"/>
              <w:bottom w:w="57" w:type="dxa"/>
            </w:tcMar>
            <w:vAlign w:val="center"/>
          </w:tcPr>
          <w:p w:rsidR="00F673D9" w:rsidRDefault="00B96F2C" w:rsidP="00F673D9">
            <w:pPr>
              <w:rPr>
                <w:b/>
              </w:rPr>
            </w:pPr>
            <w:r>
              <w:rPr>
                <w:b/>
              </w:rPr>
              <w:lastRenderedPageBreak/>
              <w:t>15. Mid-semester works</w:t>
            </w:r>
          </w:p>
          <w:p w:rsidR="002916EB" w:rsidRPr="00F673D9" w:rsidRDefault="002916EB" w:rsidP="00F673D9">
            <w:pPr>
              <w:rPr>
                <w:b/>
              </w:rPr>
            </w:pPr>
          </w:p>
          <w:p w:rsidR="00F673D9" w:rsidRDefault="00F673D9" w:rsidP="00FC255B">
            <w:pPr>
              <w:numPr>
                <w:ilvl w:val="0"/>
                <w:numId w:val="3"/>
              </w:numPr>
              <w:ind w:left="915" w:hanging="915"/>
              <w:jc w:val="both"/>
            </w:pPr>
            <w:r>
              <w:t>-</w:t>
            </w:r>
          </w:p>
          <w:p w:rsidR="00F673D9" w:rsidRDefault="00F673D9" w:rsidP="00FC255B">
            <w:pPr>
              <w:numPr>
                <w:ilvl w:val="0"/>
                <w:numId w:val="3"/>
              </w:numPr>
              <w:ind w:left="915" w:hanging="915"/>
              <w:jc w:val="both"/>
            </w:pPr>
            <w:r>
              <w:t>Data and trend analysis</w:t>
            </w:r>
            <w:r w:rsidR="00FC255B">
              <w:t xml:space="preserve"> I.</w:t>
            </w:r>
          </w:p>
          <w:p w:rsidR="00FC255B" w:rsidRDefault="00FC255B" w:rsidP="00FC255B">
            <w:pPr>
              <w:numPr>
                <w:ilvl w:val="0"/>
                <w:numId w:val="3"/>
              </w:numPr>
              <w:ind w:left="915" w:hanging="915"/>
              <w:jc w:val="both"/>
            </w:pPr>
            <w:r>
              <w:t>Data and trend analysis I</w:t>
            </w:r>
            <w:r w:rsidR="003521BD">
              <w:t>I</w:t>
            </w:r>
            <w:r>
              <w:t>.</w:t>
            </w:r>
          </w:p>
          <w:p w:rsidR="00FC255B" w:rsidRDefault="00F673D9" w:rsidP="00FC255B">
            <w:pPr>
              <w:numPr>
                <w:ilvl w:val="0"/>
                <w:numId w:val="3"/>
              </w:numPr>
              <w:ind w:left="915" w:hanging="915"/>
              <w:jc w:val="both"/>
            </w:pPr>
            <w:r>
              <w:t>Trade structure analysis</w:t>
            </w:r>
            <w:r w:rsidR="00FC255B">
              <w:t xml:space="preserve"> I.</w:t>
            </w:r>
          </w:p>
          <w:p w:rsidR="00F673D9" w:rsidRDefault="008E303E" w:rsidP="008E303E">
            <w:pPr>
              <w:numPr>
                <w:ilvl w:val="0"/>
                <w:numId w:val="3"/>
              </w:numPr>
              <w:ind w:left="915" w:hanging="915"/>
              <w:jc w:val="both"/>
            </w:pPr>
            <w:r>
              <w:t>W</w:t>
            </w:r>
            <w:r w:rsidRPr="00FC255B">
              <w:t>ritten examination</w:t>
            </w:r>
          </w:p>
          <w:p w:rsidR="00FC255B" w:rsidRDefault="00FC255B" w:rsidP="00FC255B">
            <w:pPr>
              <w:numPr>
                <w:ilvl w:val="0"/>
                <w:numId w:val="3"/>
              </w:numPr>
              <w:ind w:left="915" w:hanging="915"/>
              <w:jc w:val="both"/>
            </w:pPr>
            <w:r>
              <w:t>Discussion, teamwork, source and data processing</w:t>
            </w:r>
          </w:p>
          <w:p w:rsidR="00FC255B" w:rsidRDefault="00FC255B" w:rsidP="00FC255B">
            <w:pPr>
              <w:numPr>
                <w:ilvl w:val="0"/>
                <w:numId w:val="3"/>
              </w:numPr>
              <w:ind w:left="915" w:hanging="915"/>
              <w:jc w:val="both"/>
            </w:pPr>
            <w:r>
              <w:t>Discussion, teamwork, source and data processing</w:t>
            </w:r>
          </w:p>
          <w:p w:rsidR="00F673D9" w:rsidRDefault="00F673D9" w:rsidP="00FC255B">
            <w:pPr>
              <w:numPr>
                <w:ilvl w:val="0"/>
                <w:numId w:val="3"/>
              </w:numPr>
              <w:ind w:left="915" w:hanging="915"/>
              <w:jc w:val="both"/>
            </w:pPr>
            <w:r>
              <w:t>Country profile creation, presentation</w:t>
            </w:r>
          </w:p>
          <w:p w:rsidR="00F673D9" w:rsidRDefault="00F673D9" w:rsidP="00FC255B">
            <w:pPr>
              <w:numPr>
                <w:ilvl w:val="0"/>
                <w:numId w:val="3"/>
              </w:numPr>
              <w:ind w:left="915" w:hanging="915"/>
              <w:jc w:val="both"/>
            </w:pPr>
            <w:r>
              <w:t>Country profile creation, presentation</w:t>
            </w:r>
          </w:p>
          <w:p w:rsidR="00F673D9" w:rsidRDefault="00F673D9" w:rsidP="00FC255B">
            <w:pPr>
              <w:numPr>
                <w:ilvl w:val="0"/>
                <w:numId w:val="3"/>
              </w:numPr>
              <w:ind w:left="915" w:hanging="915"/>
              <w:jc w:val="both"/>
            </w:pPr>
            <w:r>
              <w:t>Country profile creation, presentation</w:t>
            </w:r>
          </w:p>
          <w:p w:rsidR="00FC255B" w:rsidRDefault="00FC255B" w:rsidP="00FC255B">
            <w:pPr>
              <w:numPr>
                <w:ilvl w:val="0"/>
                <w:numId w:val="3"/>
              </w:numPr>
              <w:ind w:left="915" w:hanging="915"/>
              <w:jc w:val="both"/>
            </w:pPr>
            <w:r>
              <w:t>W</w:t>
            </w:r>
            <w:r w:rsidRPr="00FC255B">
              <w:t>ritten examination</w:t>
            </w:r>
          </w:p>
          <w:p w:rsidR="00F673D9" w:rsidRDefault="00F673D9" w:rsidP="00FC255B">
            <w:pPr>
              <w:numPr>
                <w:ilvl w:val="0"/>
                <w:numId w:val="3"/>
              </w:numPr>
              <w:ind w:left="915" w:hanging="915"/>
              <w:jc w:val="both"/>
            </w:pPr>
            <w:r>
              <w:t>Country profile creation, presentation</w:t>
            </w:r>
          </w:p>
          <w:p w:rsidR="00930FD9" w:rsidRPr="00552BD6" w:rsidRDefault="00F673D9" w:rsidP="003F7303">
            <w:pPr>
              <w:numPr>
                <w:ilvl w:val="0"/>
                <w:numId w:val="3"/>
              </w:numPr>
              <w:ind w:left="915" w:hanging="915"/>
              <w:jc w:val="both"/>
            </w:pPr>
            <w:r>
              <w:t xml:space="preserve">Evaluation and closing of </w:t>
            </w:r>
            <w:r w:rsidR="00FC255B">
              <w:t>the</w:t>
            </w:r>
            <w:r>
              <w:t xml:space="preserve"> semester</w:t>
            </w:r>
          </w:p>
        </w:tc>
      </w:tr>
      <w:tr w:rsidR="00930FD9">
        <w:tc>
          <w:tcPr>
            <w:tcW w:w="9212" w:type="dxa"/>
            <w:gridSpan w:val="5"/>
            <w:tcMar>
              <w:top w:w="57" w:type="dxa"/>
              <w:bottom w:w="57" w:type="dxa"/>
            </w:tcMar>
            <w:vAlign w:val="center"/>
          </w:tcPr>
          <w:p w:rsidR="00B37719" w:rsidRPr="00B37719" w:rsidRDefault="00B96F2C" w:rsidP="00B37719">
            <w:pPr>
              <w:rPr>
                <w:b/>
              </w:rPr>
            </w:pPr>
            <w:r>
              <w:rPr>
                <w:b/>
              </w:rPr>
              <w:t xml:space="preserve">16. Summative assessment, formative assessment </w:t>
            </w:r>
          </w:p>
          <w:p w:rsidR="004F176A" w:rsidRPr="004F176A" w:rsidRDefault="004F176A" w:rsidP="004F176A">
            <w:pPr>
              <w:ind w:left="142"/>
              <w:jc w:val="both"/>
            </w:pPr>
            <w:r w:rsidRPr="004F176A">
              <w:t>Students can earn their credits by accomplishing both lecture and seminar:</w:t>
            </w:r>
          </w:p>
          <w:p w:rsidR="004F176A" w:rsidRPr="004F176A" w:rsidRDefault="004F176A" w:rsidP="004F176A">
            <w:pPr>
              <w:pStyle w:val="Listaszerbekezds"/>
              <w:numPr>
                <w:ilvl w:val="0"/>
                <w:numId w:val="9"/>
              </w:numPr>
              <w:jc w:val="both"/>
            </w:pPr>
            <w:r w:rsidRPr="004F176A">
              <w:t>The lecture will be completed by a written test. The written examination (test) of lecture will take place during the exam period (50%)</w:t>
            </w:r>
            <w:r w:rsidR="003F7303">
              <w:t>.</w:t>
            </w:r>
          </w:p>
          <w:p w:rsidR="004F176A" w:rsidRPr="004F176A" w:rsidRDefault="004F176A" w:rsidP="004F176A">
            <w:pPr>
              <w:pStyle w:val="Listaszerbekezds"/>
              <w:numPr>
                <w:ilvl w:val="0"/>
                <w:numId w:val="9"/>
              </w:numPr>
              <w:jc w:val="both"/>
            </w:pPr>
            <w:r w:rsidRPr="004F176A">
              <w:t xml:space="preserve">The seminar </w:t>
            </w:r>
            <w:proofErr w:type="gramStart"/>
            <w:r w:rsidRPr="004F176A">
              <w:t>is completed</w:t>
            </w:r>
            <w:proofErr w:type="gramEnd"/>
            <w:r w:rsidRPr="004F176A">
              <w:t xml:space="preserve"> by (50%):</w:t>
            </w:r>
          </w:p>
          <w:p w:rsidR="004F176A" w:rsidRPr="004F176A" w:rsidRDefault="008E303E" w:rsidP="002916EB">
            <w:pPr>
              <w:pStyle w:val="Listaszerbekezds"/>
              <w:numPr>
                <w:ilvl w:val="1"/>
                <w:numId w:val="11"/>
              </w:numPr>
              <w:jc w:val="both"/>
            </w:pPr>
            <w:r>
              <w:t>two</w:t>
            </w:r>
            <w:r w:rsidR="004F176A" w:rsidRPr="004F176A">
              <w:t xml:space="preserve"> written examination (test), taking place during the term</w:t>
            </w:r>
            <w:r w:rsidR="003F7303">
              <w:t>,</w:t>
            </w:r>
          </w:p>
          <w:p w:rsidR="004F176A" w:rsidRPr="004F176A" w:rsidRDefault="004F176A" w:rsidP="002916EB">
            <w:pPr>
              <w:pStyle w:val="Listaszerbekezds"/>
              <w:numPr>
                <w:ilvl w:val="1"/>
                <w:numId w:val="11"/>
              </w:numPr>
              <w:jc w:val="both"/>
            </w:pPr>
            <w:r w:rsidRPr="004F176A">
              <w:t>outcome of the tasks during the term</w:t>
            </w:r>
            <w:r w:rsidR="003F7303">
              <w:t>.</w:t>
            </w:r>
            <w:bookmarkStart w:id="0" w:name="_GoBack"/>
            <w:bookmarkEnd w:id="0"/>
          </w:p>
          <w:p w:rsidR="004F176A" w:rsidRPr="004F176A" w:rsidRDefault="004F176A" w:rsidP="004F176A">
            <w:pPr>
              <w:ind w:left="142"/>
              <w:jc w:val="both"/>
            </w:pPr>
          </w:p>
          <w:p w:rsidR="002E6B65" w:rsidRDefault="004F176A" w:rsidP="004F176A">
            <w:pPr>
              <w:ind w:left="142"/>
              <w:jc w:val="both"/>
            </w:pPr>
            <w:r w:rsidRPr="004F176A">
              <w:t>The tests are based on lectures, seminars, presentations and the provided literature. Most common questions in the structure of the written examination are: definitions, relationships, recognizing figures, analysis.</w:t>
            </w:r>
          </w:p>
          <w:p w:rsidR="004F176A" w:rsidRPr="00045C39" w:rsidRDefault="004F176A" w:rsidP="004F176A">
            <w:pPr>
              <w:ind w:left="142"/>
              <w:jc w:val="both"/>
            </w:pPr>
          </w:p>
          <w:p w:rsidR="00930FD9" w:rsidRPr="00045C39" w:rsidRDefault="00B96F2C">
            <w:pPr>
              <w:ind w:left="142"/>
            </w:pPr>
            <w:r w:rsidRPr="00045C39">
              <w:t xml:space="preserve">Grading scale: </w:t>
            </w:r>
          </w:p>
          <w:p w:rsidR="00930FD9" w:rsidRPr="00045C39" w:rsidRDefault="00B96F2C">
            <w:pPr>
              <w:ind w:left="142"/>
            </w:pPr>
            <w:r w:rsidRPr="00045C39">
              <w:t>just less than 50% = 1</w:t>
            </w:r>
          </w:p>
          <w:p w:rsidR="00930FD9" w:rsidRPr="00045C39" w:rsidRDefault="00B96F2C">
            <w:pPr>
              <w:ind w:left="142"/>
            </w:pPr>
            <w:r w:rsidRPr="00045C39">
              <w:t>50 to 64.99% = 2</w:t>
            </w:r>
          </w:p>
          <w:p w:rsidR="00930FD9" w:rsidRPr="00045C39" w:rsidRDefault="00B96F2C">
            <w:pPr>
              <w:ind w:left="142"/>
            </w:pPr>
            <w:r w:rsidRPr="00045C39">
              <w:t>65 to 74.99% = 3</w:t>
            </w:r>
          </w:p>
          <w:p w:rsidR="00930FD9" w:rsidRPr="00045C39" w:rsidRDefault="00B96F2C">
            <w:pPr>
              <w:ind w:left="142"/>
            </w:pPr>
            <w:r w:rsidRPr="00045C39">
              <w:t>75 to 84.99% = 4</w:t>
            </w:r>
          </w:p>
          <w:p w:rsidR="00930FD9" w:rsidRDefault="00B96F2C">
            <w:pPr>
              <w:ind w:left="142"/>
            </w:pPr>
            <w:r w:rsidRPr="00045C39">
              <w:t>85+% = 5</w:t>
            </w:r>
          </w:p>
        </w:tc>
      </w:tr>
      <w:tr w:rsidR="00930FD9">
        <w:tc>
          <w:tcPr>
            <w:tcW w:w="9212" w:type="dxa"/>
            <w:gridSpan w:val="5"/>
            <w:tcMar>
              <w:top w:w="57" w:type="dxa"/>
              <w:bottom w:w="57" w:type="dxa"/>
            </w:tcMar>
          </w:tcPr>
          <w:p w:rsidR="00930FD9" w:rsidRPr="00757DE8" w:rsidRDefault="00B96F2C">
            <w:pPr>
              <w:pBdr>
                <w:top w:val="nil"/>
                <w:left w:val="nil"/>
                <w:bottom w:val="nil"/>
                <w:right w:val="nil"/>
                <w:between w:val="nil"/>
              </w:pBdr>
              <w:jc w:val="both"/>
              <w:rPr>
                <w:b/>
              </w:rPr>
            </w:pPr>
            <w:r w:rsidRPr="00757DE8">
              <w:rPr>
                <w:b/>
              </w:rPr>
              <w:t>17. Reading assignments:</w:t>
            </w:r>
          </w:p>
          <w:p w:rsidR="00757DE8" w:rsidRPr="00757DE8" w:rsidRDefault="00B77988" w:rsidP="00757DE8">
            <w:pPr>
              <w:numPr>
                <w:ilvl w:val="0"/>
                <w:numId w:val="1"/>
              </w:numPr>
              <w:spacing w:before="240" w:after="240"/>
            </w:pPr>
            <w:r w:rsidRPr="00757DE8">
              <w:t>M. Sokol</w:t>
            </w:r>
            <w:r w:rsidR="00B96F2C" w:rsidRPr="00757DE8">
              <w:t xml:space="preserve"> (20</w:t>
            </w:r>
            <w:r w:rsidRPr="00757DE8">
              <w:t>11</w:t>
            </w:r>
            <w:r w:rsidR="00B96F2C" w:rsidRPr="00757DE8">
              <w:t xml:space="preserve">). </w:t>
            </w:r>
            <w:r w:rsidRPr="00757DE8">
              <w:t>Economic</w:t>
            </w:r>
            <w:r w:rsidR="00B96F2C" w:rsidRPr="00757DE8">
              <w:t xml:space="preserve"> Geography. </w:t>
            </w:r>
            <w:r w:rsidR="00757DE8" w:rsidRPr="00757DE8">
              <w:t>London</w:t>
            </w:r>
            <w:r w:rsidR="00757DE8">
              <w:t xml:space="preserve">, </w:t>
            </w:r>
            <w:r w:rsidR="00757DE8" w:rsidRPr="00757DE8">
              <w:t>United Kingdom</w:t>
            </w:r>
            <w:r w:rsidR="00757DE8">
              <w:t xml:space="preserve">: </w:t>
            </w:r>
            <w:r w:rsidR="00757DE8" w:rsidRPr="00757DE8">
              <w:t>University of London.</w:t>
            </w:r>
          </w:p>
        </w:tc>
      </w:tr>
      <w:tr w:rsidR="00930FD9">
        <w:tc>
          <w:tcPr>
            <w:tcW w:w="9212" w:type="dxa"/>
            <w:gridSpan w:val="5"/>
            <w:tcMar>
              <w:top w:w="57" w:type="dxa"/>
              <w:bottom w:w="57" w:type="dxa"/>
            </w:tcMar>
          </w:tcPr>
          <w:p w:rsidR="00757DE8" w:rsidRDefault="00B96F2C" w:rsidP="00757DE8">
            <w:pPr>
              <w:pBdr>
                <w:top w:val="nil"/>
                <w:left w:val="nil"/>
                <w:bottom w:val="nil"/>
                <w:right w:val="nil"/>
                <w:between w:val="nil"/>
              </w:pBdr>
              <w:jc w:val="both"/>
              <w:rPr>
                <w:b/>
              </w:rPr>
            </w:pPr>
            <w:r w:rsidRPr="00757DE8">
              <w:rPr>
                <w:b/>
              </w:rPr>
              <w:t>18. Recommended texts:</w:t>
            </w:r>
          </w:p>
          <w:p w:rsidR="00757DE8" w:rsidRDefault="00757DE8" w:rsidP="00757DE8">
            <w:pPr>
              <w:pBdr>
                <w:top w:val="nil"/>
                <w:left w:val="nil"/>
                <w:bottom w:val="nil"/>
                <w:right w:val="nil"/>
                <w:between w:val="nil"/>
              </w:pBdr>
              <w:jc w:val="both"/>
              <w:rPr>
                <w:b/>
              </w:rPr>
            </w:pPr>
          </w:p>
          <w:p w:rsidR="00930FD9" w:rsidRDefault="00757DE8" w:rsidP="00825EE5">
            <w:pPr>
              <w:pBdr>
                <w:top w:val="nil"/>
                <w:left w:val="nil"/>
                <w:bottom w:val="nil"/>
                <w:right w:val="nil"/>
                <w:between w:val="nil"/>
              </w:pBdr>
              <w:ind w:left="776" w:hanging="425"/>
              <w:jc w:val="both"/>
            </w:pPr>
            <w:r>
              <w:t>[1]</w:t>
            </w:r>
            <w:r>
              <w:tab/>
            </w:r>
            <w:r w:rsidRPr="00757DE8">
              <w:t>D. Grigg (</w:t>
            </w:r>
            <w:r>
              <w:t>1995</w:t>
            </w:r>
            <w:r w:rsidRPr="00757DE8">
              <w:t>): An Introduction to Agricultural Geography (2</w:t>
            </w:r>
            <w:r w:rsidRPr="00757DE8">
              <w:rPr>
                <w:vertAlign w:val="superscript"/>
              </w:rPr>
              <w:t>nd</w:t>
            </w:r>
            <w:r w:rsidRPr="00757DE8">
              <w:t xml:space="preserve"> ed.). </w:t>
            </w:r>
            <w:r>
              <w:t xml:space="preserve">New York, USA: </w:t>
            </w:r>
            <w:r w:rsidRPr="00757DE8">
              <w:t>Routledge</w:t>
            </w:r>
            <w:r>
              <w:t xml:space="preserve"> Publishing</w:t>
            </w:r>
            <w:r w:rsidRPr="00757DE8">
              <w:t>.</w:t>
            </w:r>
            <w:r>
              <w:t xml:space="preserve"> </w:t>
            </w:r>
            <w:r w:rsidRPr="00757DE8">
              <w:t>ISBN: 0-415-08442-3</w:t>
            </w:r>
          </w:p>
          <w:p w:rsidR="004F176A" w:rsidRPr="00757DE8" w:rsidRDefault="004F176A" w:rsidP="004F176A">
            <w:pPr>
              <w:pBdr>
                <w:top w:val="nil"/>
                <w:left w:val="nil"/>
                <w:bottom w:val="nil"/>
                <w:right w:val="nil"/>
                <w:between w:val="nil"/>
              </w:pBdr>
              <w:jc w:val="both"/>
              <w:rPr>
                <w:b/>
              </w:rPr>
            </w:pPr>
          </w:p>
        </w:tc>
      </w:tr>
      <w:tr w:rsidR="00930FD9">
        <w:tc>
          <w:tcPr>
            <w:tcW w:w="2303" w:type="dxa"/>
            <w:vMerge w:val="restart"/>
            <w:tcMar>
              <w:top w:w="57" w:type="dxa"/>
              <w:bottom w:w="57" w:type="dxa"/>
            </w:tcMar>
            <w:vAlign w:val="bottom"/>
          </w:tcPr>
          <w:p w:rsidR="00930FD9" w:rsidRDefault="00B96F2C">
            <w:pPr>
              <w:rPr>
                <w:b/>
              </w:rPr>
            </w:pPr>
            <w:r>
              <w:rPr>
                <w:b/>
              </w:rPr>
              <w:lastRenderedPageBreak/>
              <w:t xml:space="preserve">Date </w:t>
            </w:r>
          </w:p>
        </w:tc>
        <w:tc>
          <w:tcPr>
            <w:tcW w:w="2303" w:type="dxa"/>
            <w:vMerge w:val="restart"/>
            <w:tcMar>
              <w:top w:w="57" w:type="dxa"/>
              <w:bottom w:w="57" w:type="dxa"/>
            </w:tcMar>
            <w:vAlign w:val="bottom"/>
          </w:tcPr>
          <w:p w:rsidR="00930FD9" w:rsidRDefault="006D059A">
            <w:pPr>
              <w:jc w:val="center"/>
            </w:pPr>
            <w:r>
              <w:t>30</w:t>
            </w:r>
            <w:r w:rsidR="00B96F2C">
              <w:t xml:space="preserve"> </w:t>
            </w:r>
            <w:r>
              <w:t>August</w:t>
            </w:r>
            <w:r w:rsidR="00B96F2C">
              <w:t>, 201</w:t>
            </w:r>
            <w:r>
              <w:t>9</w:t>
            </w:r>
          </w:p>
        </w:tc>
        <w:tc>
          <w:tcPr>
            <w:tcW w:w="1418" w:type="dxa"/>
            <w:vMerge w:val="restart"/>
            <w:tcMar>
              <w:top w:w="57" w:type="dxa"/>
              <w:bottom w:w="57" w:type="dxa"/>
            </w:tcMar>
            <w:vAlign w:val="center"/>
          </w:tcPr>
          <w:p w:rsidR="00930FD9" w:rsidRDefault="00B96F2C">
            <w:pPr>
              <w:jc w:val="right"/>
              <w:rPr>
                <w:b/>
              </w:rPr>
            </w:pPr>
            <w:r>
              <w:rPr>
                <w:b/>
              </w:rPr>
              <w:t>Prepared</w:t>
            </w:r>
          </w:p>
        </w:tc>
        <w:tc>
          <w:tcPr>
            <w:tcW w:w="3188" w:type="dxa"/>
            <w:gridSpan w:val="2"/>
            <w:shd w:val="clear" w:color="auto" w:fill="FF9900"/>
            <w:tcMar>
              <w:top w:w="57" w:type="dxa"/>
              <w:bottom w:w="57" w:type="dxa"/>
            </w:tcMar>
            <w:vAlign w:val="center"/>
          </w:tcPr>
          <w:p w:rsidR="00930FD9" w:rsidRDefault="00930FD9">
            <w:pPr>
              <w:rPr>
                <w:b/>
              </w:rPr>
            </w:pPr>
          </w:p>
        </w:tc>
      </w:tr>
      <w:tr w:rsidR="00930FD9">
        <w:trPr>
          <w:trHeight w:val="420"/>
        </w:trPr>
        <w:tc>
          <w:tcPr>
            <w:tcW w:w="2303" w:type="dxa"/>
            <w:vMerge/>
            <w:tcMar>
              <w:top w:w="57" w:type="dxa"/>
              <w:bottom w:w="57" w:type="dxa"/>
            </w:tcMar>
            <w:vAlign w:val="bottom"/>
          </w:tcPr>
          <w:p w:rsidR="00930FD9" w:rsidRDefault="00930FD9">
            <w:pPr>
              <w:widowControl w:val="0"/>
              <w:pBdr>
                <w:top w:val="nil"/>
                <w:left w:val="nil"/>
                <w:bottom w:val="nil"/>
                <w:right w:val="nil"/>
                <w:between w:val="nil"/>
              </w:pBdr>
              <w:spacing w:line="276" w:lineRule="auto"/>
              <w:rPr>
                <w:b/>
              </w:rPr>
            </w:pPr>
          </w:p>
        </w:tc>
        <w:tc>
          <w:tcPr>
            <w:tcW w:w="2303" w:type="dxa"/>
            <w:vMerge/>
            <w:tcMar>
              <w:top w:w="57" w:type="dxa"/>
              <w:bottom w:w="57" w:type="dxa"/>
            </w:tcMar>
            <w:vAlign w:val="bottom"/>
          </w:tcPr>
          <w:p w:rsidR="00930FD9" w:rsidRDefault="00930FD9">
            <w:pPr>
              <w:widowControl w:val="0"/>
              <w:pBdr>
                <w:top w:val="nil"/>
                <w:left w:val="nil"/>
                <w:bottom w:val="nil"/>
                <w:right w:val="nil"/>
                <w:between w:val="nil"/>
              </w:pBdr>
              <w:spacing w:line="276" w:lineRule="auto"/>
              <w:rPr>
                <w:b/>
              </w:rPr>
            </w:pPr>
          </w:p>
        </w:tc>
        <w:tc>
          <w:tcPr>
            <w:tcW w:w="1418" w:type="dxa"/>
            <w:vMerge/>
            <w:tcMar>
              <w:top w:w="57" w:type="dxa"/>
              <w:bottom w:w="57" w:type="dxa"/>
            </w:tcMar>
            <w:vAlign w:val="center"/>
          </w:tcPr>
          <w:p w:rsidR="00930FD9" w:rsidRDefault="00930FD9">
            <w:pPr>
              <w:rPr>
                <w:b/>
              </w:rPr>
            </w:pPr>
          </w:p>
          <w:p w:rsidR="00930FD9" w:rsidRDefault="00930FD9"/>
          <w:p w:rsidR="00930FD9" w:rsidRDefault="00930FD9"/>
        </w:tc>
        <w:tc>
          <w:tcPr>
            <w:tcW w:w="3188" w:type="dxa"/>
            <w:gridSpan w:val="2"/>
            <w:shd w:val="clear" w:color="auto" w:fill="FFF2CC"/>
            <w:vAlign w:val="center"/>
          </w:tcPr>
          <w:p w:rsidR="00930FD9" w:rsidRDefault="00B96F2C">
            <w:pPr>
              <w:jc w:val="center"/>
            </w:pPr>
            <w:proofErr w:type="spellStart"/>
            <w:r>
              <w:t>András</w:t>
            </w:r>
            <w:proofErr w:type="spellEnd"/>
            <w:r>
              <w:t xml:space="preserve"> TRÓCSÁNYI PhD</w:t>
            </w:r>
          </w:p>
          <w:p w:rsidR="00930FD9" w:rsidRDefault="00B96F2C">
            <w:pPr>
              <w:jc w:val="center"/>
            </w:pPr>
            <w:r>
              <w:t>instructor-in-charge</w:t>
            </w:r>
          </w:p>
        </w:tc>
      </w:tr>
      <w:tr w:rsidR="00930FD9">
        <w:tc>
          <w:tcPr>
            <w:tcW w:w="6024" w:type="dxa"/>
            <w:gridSpan w:val="3"/>
            <w:vMerge w:val="restart"/>
            <w:tcMar>
              <w:top w:w="57" w:type="dxa"/>
              <w:bottom w:w="57" w:type="dxa"/>
            </w:tcMar>
            <w:vAlign w:val="center"/>
          </w:tcPr>
          <w:p w:rsidR="00930FD9" w:rsidRDefault="00B96F2C">
            <w:pPr>
              <w:jc w:val="right"/>
              <w:rPr>
                <w:b/>
              </w:rPr>
            </w:pPr>
            <w:r>
              <w:rPr>
                <w:b/>
              </w:rPr>
              <w:t xml:space="preserve">Endorsed </w:t>
            </w:r>
          </w:p>
        </w:tc>
        <w:tc>
          <w:tcPr>
            <w:tcW w:w="3188" w:type="dxa"/>
            <w:gridSpan w:val="2"/>
            <w:shd w:val="clear" w:color="auto" w:fill="FF0000"/>
            <w:tcMar>
              <w:top w:w="57" w:type="dxa"/>
              <w:bottom w:w="57" w:type="dxa"/>
            </w:tcMar>
            <w:vAlign w:val="center"/>
          </w:tcPr>
          <w:p w:rsidR="00930FD9" w:rsidRDefault="00930FD9">
            <w:pPr>
              <w:rPr>
                <w:b/>
              </w:rPr>
            </w:pPr>
          </w:p>
        </w:tc>
      </w:tr>
      <w:tr w:rsidR="00930FD9">
        <w:trPr>
          <w:trHeight w:val="160"/>
        </w:trPr>
        <w:tc>
          <w:tcPr>
            <w:tcW w:w="6024" w:type="dxa"/>
            <w:gridSpan w:val="3"/>
            <w:vMerge/>
            <w:tcMar>
              <w:top w:w="57" w:type="dxa"/>
              <w:bottom w:w="57" w:type="dxa"/>
            </w:tcMar>
            <w:vAlign w:val="center"/>
          </w:tcPr>
          <w:p w:rsidR="00930FD9" w:rsidRDefault="00930FD9">
            <w:pPr>
              <w:rPr>
                <w:b/>
              </w:rPr>
            </w:pPr>
          </w:p>
        </w:tc>
        <w:tc>
          <w:tcPr>
            <w:tcW w:w="3188" w:type="dxa"/>
            <w:gridSpan w:val="2"/>
            <w:shd w:val="clear" w:color="auto" w:fill="FFF2CC"/>
            <w:vAlign w:val="center"/>
          </w:tcPr>
          <w:p w:rsidR="00930FD9" w:rsidRDefault="00B96F2C">
            <w:pPr>
              <w:jc w:val="center"/>
              <w:rPr>
                <w:b/>
              </w:rPr>
            </w:pPr>
            <w:proofErr w:type="spellStart"/>
            <w:r>
              <w:t>András</w:t>
            </w:r>
            <w:proofErr w:type="spellEnd"/>
            <w:r>
              <w:t xml:space="preserve"> TRÓCSÁNYI PhD</w:t>
            </w:r>
            <w:r>
              <w:br/>
              <w:t>leader of the program</w:t>
            </w:r>
          </w:p>
        </w:tc>
      </w:tr>
    </w:tbl>
    <w:p w:rsidR="00930FD9" w:rsidRDefault="00930FD9"/>
    <w:sectPr w:rsidR="00930FD9">
      <w:headerReference w:type="default" r:id="rId8"/>
      <w:pgSz w:w="11906" w:h="16838"/>
      <w:pgMar w:top="1134" w:right="1418" w:bottom="567" w:left="1418" w:header="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24F" w:rsidRDefault="003F124F">
      <w:r>
        <w:separator/>
      </w:r>
    </w:p>
  </w:endnote>
  <w:endnote w:type="continuationSeparator" w:id="0">
    <w:p w:rsidR="003F124F" w:rsidRDefault="003F1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24F" w:rsidRDefault="003F124F">
      <w:r>
        <w:separator/>
      </w:r>
    </w:p>
  </w:footnote>
  <w:footnote w:type="continuationSeparator" w:id="0">
    <w:p w:rsidR="003F124F" w:rsidRDefault="003F1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D9" w:rsidRDefault="00930FD9">
    <w:pPr>
      <w:widowControl w:val="0"/>
      <w:pBdr>
        <w:top w:val="nil"/>
        <w:left w:val="nil"/>
        <w:bottom w:val="nil"/>
        <w:right w:val="nil"/>
        <w:between w:val="nil"/>
      </w:pBdr>
      <w:spacing w:before="426" w:line="276" w:lineRule="auto"/>
    </w:pPr>
  </w:p>
  <w:tbl>
    <w:tblPr>
      <w:tblStyle w:val="a0"/>
      <w:tblW w:w="9212"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2622"/>
      <w:gridCol w:w="3969"/>
      <w:gridCol w:w="2621"/>
    </w:tblGrid>
    <w:tr w:rsidR="00930FD9">
      <w:tc>
        <w:tcPr>
          <w:tcW w:w="2622" w:type="dxa"/>
          <w:tcBorders>
            <w:top w:val="single" w:sz="12" w:space="0" w:color="000000"/>
            <w:bottom w:val="single" w:sz="12" w:space="0" w:color="000000"/>
          </w:tcBorders>
          <w:vAlign w:val="center"/>
        </w:tcPr>
        <w:p w:rsidR="00930FD9" w:rsidRDefault="00B96F2C">
          <w:pPr>
            <w:pStyle w:val="Cmsor4"/>
          </w:pPr>
          <w:r>
            <w:t>UP FS</w:t>
          </w:r>
        </w:p>
      </w:tc>
      <w:tc>
        <w:tcPr>
          <w:tcW w:w="3969" w:type="dxa"/>
          <w:tcBorders>
            <w:top w:val="single" w:sz="12" w:space="0" w:color="000000"/>
            <w:bottom w:val="single" w:sz="12" w:space="0" w:color="000000"/>
          </w:tcBorders>
          <w:vAlign w:val="center"/>
        </w:tcPr>
        <w:p w:rsidR="00930FD9" w:rsidRDefault="00B96F2C">
          <w:pPr>
            <w:keepNext/>
            <w:pBdr>
              <w:top w:val="nil"/>
              <w:left w:val="nil"/>
              <w:bottom w:val="nil"/>
              <w:right w:val="nil"/>
              <w:between w:val="nil"/>
            </w:pBdr>
            <w:jc w:val="center"/>
            <w:rPr>
              <w:rFonts w:ascii="Arial" w:eastAsia="Arial" w:hAnsi="Arial" w:cs="Arial"/>
              <w:b/>
              <w:color w:val="000000"/>
            </w:rPr>
          </w:pPr>
          <w:r>
            <w:rPr>
              <w:b/>
              <w:color w:val="000000"/>
              <w:sz w:val="28"/>
              <w:szCs w:val="28"/>
            </w:rPr>
            <w:t>Course description</w:t>
          </w:r>
        </w:p>
      </w:tc>
      <w:tc>
        <w:tcPr>
          <w:tcW w:w="2621" w:type="dxa"/>
          <w:tcBorders>
            <w:top w:val="single" w:sz="12" w:space="0" w:color="000000"/>
            <w:bottom w:val="single" w:sz="12" w:space="0" w:color="000000"/>
          </w:tcBorders>
          <w:vAlign w:val="center"/>
        </w:tcPr>
        <w:p w:rsidR="00930FD9" w:rsidRDefault="00B96F2C">
          <w:pPr>
            <w:jc w:val="right"/>
          </w:pPr>
          <w:r>
            <w:t xml:space="preserve">Page: </w:t>
          </w:r>
          <w:r>
            <w:fldChar w:fldCharType="begin"/>
          </w:r>
          <w:r>
            <w:instrText>PAGE</w:instrText>
          </w:r>
          <w:r>
            <w:fldChar w:fldCharType="separate"/>
          </w:r>
          <w:r w:rsidR="003F7303">
            <w:rPr>
              <w:noProof/>
            </w:rPr>
            <w:t>3</w:t>
          </w:r>
          <w:r>
            <w:fldChar w:fldCharType="end"/>
          </w:r>
          <w:r>
            <w:t>/</w:t>
          </w:r>
          <w:r>
            <w:fldChar w:fldCharType="begin"/>
          </w:r>
          <w:r>
            <w:instrText>NUMPAGES</w:instrText>
          </w:r>
          <w:r>
            <w:fldChar w:fldCharType="separate"/>
          </w:r>
          <w:r w:rsidR="003F7303">
            <w:rPr>
              <w:noProof/>
            </w:rPr>
            <w:t>3</w:t>
          </w:r>
          <w:r>
            <w:fldChar w:fldCharType="end"/>
          </w:r>
        </w:p>
      </w:tc>
    </w:tr>
  </w:tbl>
  <w:p w:rsidR="00930FD9" w:rsidRDefault="00930FD9">
    <w:pPr>
      <w:pBdr>
        <w:top w:val="nil"/>
        <w:left w:val="nil"/>
        <w:bottom w:val="nil"/>
        <w:right w:val="nil"/>
        <w:between w:val="nil"/>
      </w:pBdr>
      <w:tabs>
        <w:tab w:val="center" w:pos="4536"/>
        <w:tab w:val="right" w:pos="9072"/>
      </w:tabs>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813"/>
    <w:multiLevelType w:val="hybridMultilevel"/>
    <w:tmpl w:val="CD42EF84"/>
    <w:lvl w:ilvl="0" w:tplc="166CA4CC">
      <w:start w:val="16"/>
      <w:numFmt w:val="bullet"/>
      <w:lvlText w:val="-"/>
      <w:lvlJc w:val="left"/>
      <w:pPr>
        <w:ind w:left="502" w:hanging="360"/>
      </w:pPr>
      <w:rPr>
        <w:rFonts w:ascii="Times New Roman" w:eastAsia="Times New Roman"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
    <w:nsid w:val="075921D8"/>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9953892"/>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C80339E"/>
    <w:multiLevelType w:val="multilevel"/>
    <w:tmpl w:val="C83AF892"/>
    <w:lvl w:ilvl="0">
      <w:start w:val="1"/>
      <w:numFmt w:val="decimal"/>
      <w:lvlText w:val="[%1]"/>
      <w:lvlJc w:val="left"/>
      <w:pPr>
        <w:ind w:left="720" w:hanging="360"/>
      </w:p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nsid w:val="0F881156"/>
    <w:multiLevelType w:val="hybridMultilevel"/>
    <w:tmpl w:val="8D36E2E4"/>
    <w:lvl w:ilvl="0" w:tplc="86D88878">
      <w:start w:val="1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B1A2D38"/>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328003AD"/>
    <w:multiLevelType w:val="hybridMultilevel"/>
    <w:tmpl w:val="8CA04076"/>
    <w:lvl w:ilvl="0" w:tplc="86D88878">
      <w:start w:val="15"/>
      <w:numFmt w:val="bullet"/>
      <w:lvlText w:val="-"/>
      <w:lvlJc w:val="left"/>
      <w:pPr>
        <w:ind w:left="720" w:hanging="360"/>
      </w:pPr>
      <w:rPr>
        <w:rFonts w:ascii="Times New Roman" w:eastAsia="Times New Roman" w:hAnsi="Times New Roman" w:cs="Times New Roman" w:hint="default"/>
      </w:rPr>
    </w:lvl>
    <w:lvl w:ilvl="1" w:tplc="1A3025D0">
      <w:start w:val="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2FB4BA5"/>
    <w:multiLevelType w:val="hybridMultilevel"/>
    <w:tmpl w:val="EF2AA72A"/>
    <w:lvl w:ilvl="0" w:tplc="1A3025D0">
      <w:start w:val="16"/>
      <w:numFmt w:val="bullet"/>
      <w:lvlText w:val="-"/>
      <w:lvlJc w:val="left"/>
      <w:pPr>
        <w:ind w:left="502" w:hanging="360"/>
      </w:pPr>
      <w:rPr>
        <w:rFonts w:ascii="Times New Roman" w:eastAsia="Times New Roman"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8">
    <w:nsid w:val="4B6A54A0"/>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4E875E30"/>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6756515"/>
    <w:multiLevelType w:val="multilevel"/>
    <w:tmpl w:val="A50E7400"/>
    <w:lvl w:ilvl="0">
      <w:start w:val="1"/>
      <w:numFmt w:val="decimal"/>
      <w:lvlText w:val="Week %1"/>
      <w:lvlJc w:val="left"/>
      <w:pPr>
        <w:ind w:left="0" w:firstLine="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8"/>
  </w:num>
  <w:num w:numId="3">
    <w:abstractNumId w:val="5"/>
  </w:num>
  <w:num w:numId="4">
    <w:abstractNumId w:val="9"/>
  </w:num>
  <w:num w:numId="5">
    <w:abstractNumId w:val="2"/>
  </w:num>
  <w:num w:numId="6">
    <w:abstractNumId w:val="7"/>
  </w:num>
  <w:num w:numId="7">
    <w:abstractNumId w:val="0"/>
  </w:num>
  <w:num w:numId="8">
    <w:abstractNumId w:val="1"/>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FD9"/>
    <w:rsid w:val="00045C39"/>
    <w:rsid w:val="00061E52"/>
    <w:rsid w:val="002916EB"/>
    <w:rsid w:val="002E6B65"/>
    <w:rsid w:val="00301F47"/>
    <w:rsid w:val="00302A5D"/>
    <w:rsid w:val="003521BD"/>
    <w:rsid w:val="003B4AD0"/>
    <w:rsid w:val="003F124F"/>
    <w:rsid w:val="003F7303"/>
    <w:rsid w:val="004F176A"/>
    <w:rsid w:val="005064F9"/>
    <w:rsid w:val="00537FDA"/>
    <w:rsid w:val="00552BD6"/>
    <w:rsid w:val="00562540"/>
    <w:rsid w:val="00635386"/>
    <w:rsid w:val="006D059A"/>
    <w:rsid w:val="006E1374"/>
    <w:rsid w:val="00757DE8"/>
    <w:rsid w:val="008017F1"/>
    <w:rsid w:val="00825EE5"/>
    <w:rsid w:val="0083491B"/>
    <w:rsid w:val="00875D59"/>
    <w:rsid w:val="008E303E"/>
    <w:rsid w:val="00930FD9"/>
    <w:rsid w:val="00971D0B"/>
    <w:rsid w:val="009C2DBD"/>
    <w:rsid w:val="00A57BAE"/>
    <w:rsid w:val="00A77B7F"/>
    <w:rsid w:val="00B37719"/>
    <w:rsid w:val="00B77988"/>
    <w:rsid w:val="00B96F2C"/>
    <w:rsid w:val="00BA3AF5"/>
    <w:rsid w:val="00CC25A7"/>
    <w:rsid w:val="00D75FC6"/>
    <w:rsid w:val="00DC4A7B"/>
    <w:rsid w:val="00E31251"/>
    <w:rsid w:val="00EF7F0C"/>
    <w:rsid w:val="00F673D9"/>
    <w:rsid w:val="00FC255B"/>
    <w:rsid w:val="00FE05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spacing w:before="240" w:after="60"/>
      <w:outlineLvl w:val="0"/>
    </w:pPr>
    <w:rPr>
      <w:rFonts w:ascii="Arial" w:eastAsia="Arial" w:hAnsi="Arial" w:cs="Arial"/>
      <w:b/>
      <w:sz w:val="28"/>
      <w:szCs w:val="28"/>
    </w:rPr>
  </w:style>
  <w:style w:type="paragraph" w:styleId="Cmsor2">
    <w:name w:val="heading 2"/>
    <w:basedOn w:val="Norml"/>
    <w:next w:val="Norml"/>
    <w:pPr>
      <w:keepNext/>
      <w:spacing w:before="240" w:after="60"/>
      <w:outlineLvl w:val="1"/>
    </w:pPr>
    <w:rPr>
      <w:rFonts w:ascii="Calibri" w:eastAsia="Calibri" w:hAnsi="Calibri" w:cs="Calibri"/>
      <w:b/>
      <w:i/>
      <w:sz w:val="28"/>
      <w:szCs w:val="28"/>
    </w:rPr>
  </w:style>
  <w:style w:type="paragraph" w:styleId="Cmsor3">
    <w:name w:val="heading 3"/>
    <w:basedOn w:val="Norml"/>
    <w:next w:val="Norml"/>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Listaszerbekezds">
    <w:name w:val="List Paragraph"/>
    <w:basedOn w:val="Norml"/>
    <w:uiPriority w:val="34"/>
    <w:qFormat/>
    <w:rsid w:val="00B377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pPr>
      <w:keepNext/>
      <w:spacing w:before="240" w:after="60"/>
      <w:outlineLvl w:val="0"/>
    </w:pPr>
    <w:rPr>
      <w:rFonts w:ascii="Arial" w:eastAsia="Arial" w:hAnsi="Arial" w:cs="Arial"/>
      <w:b/>
      <w:sz w:val="28"/>
      <w:szCs w:val="28"/>
    </w:rPr>
  </w:style>
  <w:style w:type="paragraph" w:styleId="Cmsor2">
    <w:name w:val="heading 2"/>
    <w:basedOn w:val="Norml"/>
    <w:next w:val="Norml"/>
    <w:pPr>
      <w:keepNext/>
      <w:spacing w:before="240" w:after="60"/>
      <w:outlineLvl w:val="1"/>
    </w:pPr>
    <w:rPr>
      <w:rFonts w:ascii="Calibri" w:eastAsia="Calibri" w:hAnsi="Calibri" w:cs="Calibri"/>
      <w:b/>
      <w:i/>
      <w:sz w:val="28"/>
      <w:szCs w:val="28"/>
    </w:rPr>
  </w:style>
  <w:style w:type="paragraph" w:styleId="Cmsor3">
    <w:name w:val="heading 3"/>
    <w:basedOn w:val="Norml"/>
    <w:next w:val="Norml"/>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Listaszerbekezds">
    <w:name w:val="List Paragraph"/>
    <w:basedOn w:val="Norml"/>
    <w:uiPriority w:val="34"/>
    <w:qFormat/>
    <w:rsid w:val="00B377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887163">
      <w:bodyDiv w:val="1"/>
      <w:marLeft w:val="0"/>
      <w:marRight w:val="0"/>
      <w:marTop w:val="0"/>
      <w:marBottom w:val="0"/>
      <w:divBdr>
        <w:top w:val="none" w:sz="0" w:space="0" w:color="auto"/>
        <w:left w:val="none" w:sz="0" w:space="0" w:color="auto"/>
        <w:bottom w:val="none" w:sz="0" w:space="0" w:color="auto"/>
        <w:right w:val="none" w:sz="0" w:space="0" w:color="auto"/>
      </w:divBdr>
    </w:div>
    <w:div w:id="2117289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5764</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troand</dc:creator>
  <cp:lastModifiedBy>troand</cp:lastModifiedBy>
  <cp:revision>2</cp:revision>
  <dcterms:created xsi:type="dcterms:W3CDTF">2019-09-01T08:12:00Z</dcterms:created>
  <dcterms:modified xsi:type="dcterms:W3CDTF">2019-09-01T08:12:00Z</dcterms:modified>
</cp:coreProperties>
</file>