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B12209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B12209" w:rsidRPr="00B12209">
              <w:rPr>
                <w:b/>
                <w:szCs w:val="20"/>
                <w:lang w:val="en-GB"/>
              </w:rPr>
              <w:t>Motor development</w:t>
            </w:r>
            <w:r w:rsidR="000C56F2" w:rsidRPr="00B065C9">
              <w:rPr>
                <w:rStyle w:val="Szvegtrzs2Char"/>
                <w:lang w:val="en-US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666AA6" w:rsidRPr="000C56F2" w:rsidRDefault="000C56F2" w:rsidP="000C56F2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none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910862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910862"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10862" w:rsidRPr="004E203A">
              <w:rPr>
                <w:lang w:val="en-GB"/>
              </w:rPr>
              <w:instrText xml:space="preserve"> FORMCHECKBOX </w:instrText>
            </w:r>
            <w:r w:rsidR="00910862" w:rsidRPr="004E203A">
              <w:rPr>
                <w:lang w:val="en-GB"/>
              </w:rPr>
            </w:r>
            <w:r w:rsidR="00910862" w:rsidRPr="004E203A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910862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10862">
              <w:rPr>
                <w:lang w:val="en-GB"/>
              </w:rPr>
              <w:instrText xml:space="preserve"> FORMCHECKBOX </w:instrText>
            </w:r>
            <w:r w:rsidR="00910862">
              <w:rPr>
                <w:lang w:val="en-GB"/>
              </w:rPr>
            </w:r>
            <w:r w:rsidR="00910862">
              <w:rPr>
                <w:lang w:val="en-GB"/>
              </w:rPr>
              <w:fldChar w:fldCharType="end"/>
            </w:r>
            <w:r w:rsidR="00910862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0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150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:rsidR="00666AA6" w:rsidRPr="004E203A" w:rsidRDefault="000C56F2" w:rsidP="000C56F2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r w:rsidRPr="00B065C9">
              <w:rPr>
                <w:lang w:val="en-US"/>
              </w:rPr>
              <w:t xml:space="preserve">Dr. Wilhelm </w:t>
            </w:r>
            <w:proofErr w:type="spellStart"/>
            <w:r w:rsidRPr="00B065C9">
              <w:rPr>
                <w:lang w:val="en-US"/>
              </w:rPr>
              <w:t>Márta</w:t>
            </w:r>
            <w:proofErr w:type="spellEnd"/>
            <w:r w:rsidRPr="00B065C9">
              <w:rPr>
                <w:lang w:val="en-US"/>
              </w:rPr>
              <w:t xml:space="preserve"> (Faculty of Sciences, Institute of Sport Sciences and Physical Education,</w:t>
            </w:r>
            <w:r>
              <w:rPr>
                <w:lang w:val="en-US"/>
              </w:rPr>
              <w:t xml:space="preserve"> </w:t>
            </w:r>
            <w:r w:rsidRPr="00B065C9">
              <w:rPr>
                <w:lang w:val="en-US"/>
              </w:rPr>
              <w:t>Dept. of Leisure Sports and Recreation)</w:t>
            </w:r>
            <w:r>
              <w:rPr>
                <w:lang w:val="en-US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0C56F2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Pr="004E203A">
              <w:rPr>
                <w:lang w:val="en-GB"/>
              </w:rPr>
              <w:t xml:space="preserve"> </w:t>
            </w:r>
            <w:proofErr w:type="spellStart"/>
            <w:r w:rsidR="000C56F2">
              <w:rPr>
                <w:lang w:val="en-GB"/>
              </w:rPr>
              <w:t>Márta</w:t>
            </w:r>
            <w:proofErr w:type="spellEnd"/>
            <w:r w:rsidRPr="004E203A">
              <w:rPr>
                <w:lang w:val="en-GB"/>
              </w:rPr>
              <w:t xml:space="preserve"> </w:t>
            </w:r>
            <w:r w:rsidR="000C56F2">
              <w:rPr>
                <w:lang w:val="en-GB"/>
              </w:rPr>
              <w:t>WILHELM</w:t>
            </w:r>
            <w:r w:rsidRPr="004E203A">
              <w:rPr>
                <w:lang w:val="en-GB"/>
              </w:rPr>
              <w:t xml:space="preserve">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45B8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0C56F2">
              <w:rPr>
                <w:lang w:val="en-GB"/>
              </w:rPr>
              <w:t>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5745B8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Éva</w:t>
            </w:r>
            <w:proofErr w:type="spellEnd"/>
            <w:r>
              <w:rPr>
                <w:lang w:val="en-GB"/>
              </w:rPr>
              <w:t xml:space="preserve"> TÉKUS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 w:rsidRPr="00C505A4"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The lecture intends to i</w:t>
            </w:r>
            <w:r w:rsidR="00666AA6" w:rsidRPr="004E203A">
              <w:rPr>
                <w:b w:val="0"/>
                <w:lang w:val="en-GB"/>
              </w:rPr>
              <w:t>ntroduc</w:t>
            </w:r>
            <w:r>
              <w:rPr>
                <w:b w:val="0"/>
                <w:lang w:val="en-GB"/>
              </w:rPr>
              <w:t>e students to</w:t>
            </w:r>
            <w:r w:rsidR="00666AA6" w:rsidRPr="004E203A">
              <w:rPr>
                <w:b w:val="0"/>
                <w:lang w:val="en-GB"/>
              </w:rPr>
              <w:t xml:space="preserve"> the </w:t>
            </w:r>
            <w:r w:rsidR="00A2542F">
              <w:rPr>
                <w:b w:val="0"/>
                <w:lang w:val="en-GB"/>
              </w:rPr>
              <w:t xml:space="preserve">characteristics of the human </w:t>
            </w:r>
            <w:r w:rsidR="005745B8">
              <w:rPr>
                <w:b w:val="0"/>
                <w:lang w:val="en-GB"/>
              </w:rPr>
              <w:t xml:space="preserve">development, stages of the </w:t>
            </w:r>
            <w:proofErr w:type="spellStart"/>
            <w:r w:rsidR="005745B8">
              <w:rPr>
                <w:b w:val="0"/>
                <w:lang w:val="en-GB"/>
              </w:rPr>
              <w:t>extrauterin</w:t>
            </w:r>
            <w:proofErr w:type="spellEnd"/>
            <w:r w:rsidR="005745B8">
              <w:rPr>
                <w:b w:val="0"/>
                <w:lang w:val="en-GB"/>
              </w:rPr>
              <w:t xml:space="preserve"> life</w:t>
            </w:r>
            <w:r>
              <w:rPr>
                <w:b w:val="0"/>
                <w:lang w:val="en-GB"/>
              </w:rPr>
              <w:t>. An o</w:t>
            </w:r>
            <w:r w:rsidR="00666AA6" w:rsidRPr="004E203A">
              <w:rPr>
                <w:b w:val="0"/>
                <w:lang w:val="en-GB"/>
              </w:rPr>
              <w:t xml:space="preserve">verview </w:t>
            </w:r>
            <w:r>
              <w:rPr>
                <w:b w:val="0"/>
                <w:lang w:val="en-GB"/>
              </w:rPr>
              <w:t xml:space="preserve">is provided </w:t>
            </w:r>
            <w:r w:rsidR="00A2542F">
              <w:rPr>
                <w:b w:val="0"/>
                <w:lang w:val="en-GB"/>
              </w:rPr>
              <w:t xml:space="preserve">in the </w:t>
            </w:r>
            <w:r w:rsidR="005745B8">
              <w:rPr>
                <w:b w:val="0"/>
                <w:lang w:val="en-GB"/>
              </w:rPr>
              <w:t xml:space="preserve">development of the brain, body structures and changes of human movement </w:t>
            </w:r>
            <w:r>
              <w:rPr>
                <w:b w:val="0"/>
                <w:lang w:val="en-GB"/>
              </w:rPr>
              <w:t>The course gives an insight in</w:t>
            </w:r>
            <w:r w:rsidR="00666AA6" w:rsidRPr="004E203A">
              <w:rPr>
                <w:b w:val="0"/>
                <w:lang w:val="en-GB"/>
              </w:rPr>
              <w:t xml:space="preserve">to the </w:t>
            </w:r>
            <w:r w:rsidR="00A2542F">
              <w:rPr>
                <w:b w:val="0"/>
                <w:lang w:val="en-GB"/>
              </w:rPr>
              <w:t>biological</w:t>
            </w:r>
            <w:r w:rsidR="005745B8">
              <w:rPr>
                <w:b w:val="0"/>
                <w:lang w:val="en-GB"/>
              </w:rPr>
              <w:t xml:space="preserve"> progression and regression of human life and movement</w:t>
            </w:r>
            <w:r w:rsidR="00A2542F">
              <w:rPr>
                <w:b w:val="0"/>
                <w:lang w:val="en-GB"/>
              </w:rPr>
              <w:t>.</w:t>
            </w:r>
          </w:p>
          <w:p w:rsidR="00666AA6" w:rsidRPr="005745B8" w:rsidRDefault="00C505A4" w:rsidP="005745B8">
            <w:pPr>
              <w:suppressAutoHyphens w:val="0"/>
              <w:autoSpaceDN w:val="0"/>
              <w:jc w:val="both"/>
              <w:rPr>
                <w:b/>
                <w:bCs/>
                <w:lang w:val="en-GB"/>
              </w:rPr>
            </w:pPr>
            <w:r w:rsidRPr="005745B8">
              <w:rPr>
                <w:b/>
                <w:lang w:val="en-GB"/>
              </w:rPr>
              <w:t>Learning outcomes</w:t>
            </w:r>
            <w:r w:rsidRPr="00C505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</w:p>
          <w:p w:rsidR="005745B8" w:rsidRPr="005745B8" w:rsidRDefault="005745B8" w:rsidP="00910862">
            <w:pPr>
              <w:pStyle w:val="Szvegtrzsbehzssal"/>
              <w:ind w:left="0"/>
              <w:rPr>
                <w:lang w:val="en-US"/>
              </w:rPr>
            </w:pPr>
            <w:r w:rsidRPr="005745B8">
              <w:rPr>
                <w:lang w:val="en-US"/>
              </w:rPr>
              <w:t>1. Understanding developmental stages of the human life, especially in the frame of motor functions</w:t>
            </w:r>
          </w:p>
          <w:p w:rsidR="005745B8" w:rsidRPr="005745B8" w:rsidRDefault="005745B8" w:rsidP="00910862">
            <w:pPr>
              <w:pStyle w:val="Szvegtrzsbehzssal"/>
              <w:ind w:left="0"/>
              <w:rPr>
                <w:lang w:val="en-US"/>
              </w:rPr>
            </w:pPr>
            <w:r w:rsidRPr="005745B8">
              <w:rPr>
                <w:lang w:val="en-US"/>
              </w:rPr>
              <w:t>2. Understanding the special features of developmental stages in the frame of physical activity, trainability, especially in different school ages and adulthood</w:t>
            </w:r>
          </w:p>
          <w:p w:rsidR="005745B8" w:rsidRPr="004E203A" w:rsidRDefault="005745B8" w:rsidP="005745B8">
            <w:pPr>
              <w:suppressAutoHyphens w:val="0"/>
              <w:autoSpaceDN w:val="0"/>
              <w:ind w:left="720"/>
              <w:jc w:val="both"/>
              <w:rPr>
                <w:b/>
                <w:bCs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5745B8" w:rsidRPr="005745B8" w:rsidRDefault="005745B8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5745B8">
              <w:rPr>
                <w:sz w:val="22"/>
                <w:szCs w:val="22"/>
                <w:lang w:val="en-US"/>
              </w:rPr>
              <w:t xml:space="preserve">Week 1 Definition of development, basic principles of development. The basic mechanisms regulating motor activity. </w:t>
            </w:r>
          </w:p>
          <w:p w:rsidR="005745B8" w:rsidRPr="005745B8" w:rsidRDefault="005745B8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5745B8">
              <w:rPr>
                <w:sz w:val="22"/>
                <w:szCs w:val="22"/>
                <w:lang w:val="en-US"/>
              </w:rPr>
              <w:t>Week 2 Phases of motor development.</w:t>
            </w:r>
          </w:p>
          <w:p w:rsidR="005745B8" w:rsidRPr="005745B8" w:rsidRDefault="005745B8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5745B8">
              <w:rPr>
                <w:sz w:val="22"/>
                <w:szCs w:val="22"/>
                <w:lang w:val="en-US"/>
              </w:rPr>
              <w:t>Week 3 Sexual differences and sensitive phases in motor development.</w:t>
            </w:r>
          </w:p>
          <w:p w:rsidR="005745B8" w:rsidRPr="005745B8" w:rsidRDefault="005745B8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5745B8">
              <w:rPr>
                <w:sz w:val="22"/>
                <w:szCs w:val="22"/>
                <w:lang w:val="en-US"/>
              </w:rPr>
              <w:t xml:space="preserve">Week 4 Development of the </w:t>
            </w:r>
            <w:proofErr w:type="spellStart"/>
            <w:r w:rsidRPr="005745B8">
              <w:rPr>
                <w:sz w:val="22"/>
                <w:szCs w:val="22"/>
                <w:lang w:val="en-US"/>
              </w:rPr>
              <w:t>musculo</w:t>
            </w:r>
            <w:proofErr w:type="spellEnd"/>
            <w:r w:rsidRPr="005745B8">
              <w:rPr>
                <w:sz w:val="22"/>
                <w:szCs w:val="22"/>
                <w:lang w:val="en-US"/>
              </w:rPr>
              <w:t>-skeletal system and related neural mechanisms in the prenatal and postnatal life.</w:t>
            </w:r>
          </w:p>
          <w:p w:rsidR="005745B8" w:rsidRPr="005745B8" w:rsidRDefault="005745B8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</w:t>
            </w:r>
            <w:r w:rsidRPr="005745B8">
              <w:rPr>
                <w:sz w:val="22"/>
                <w:szCs w:val="22"/>
                <w:lang w:val="en-US"/>
              </w:rPr>
              <w:t>eek</w:t>
            </w:r>
            <w:r>
              <w:rPr>
                <w:sz w:val="22"/>
                <w:szCs w:val="22"/>
                <w:lang w:val="en-US"/>
              </w:rPr>
              <w:t xml:space="preserve"> 5</w:t>
            </w:r>
            <w:r w:rsidRPr="005745B8">
              <w:rPr>
                <w:sz w:val="22"/>
                <w:szCs w:val="22"/>
                <w:lang w:val="en-US"/>
              </w:rPr>
              <w:t xml:space="preserve"> Development of the newborn and infant. Postural reflexes in fetal development and in the early postnatal age.</w:t>
            </w:r>
          </w:p>
          <w:p w:rsidR="005745B8" w:rsidRPr="005745B8" w:rsidRDefault="00DA0DED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</w:t>
            </w:r>
            <w:r w:rsidR="005745B8" w:rsidRPr="005745B8">
              <w:rPr>
                <w:sz w:val="22"/>
                <w:szCs w:val="22"/>
                <w:lang w:val="en-US"/>
              </w:rPr>
              <w:t>eek</w:t>
            </w:r>
            <w:r>
              <w:rPr>
                <w:sz w:val="22"/>
                <w:szCs w:val="22"/>
                <w:lang w:val="en-US"/>
              </w:rPr>
              <w:t xml:space="preserve"> 6</w:t>
            </w:r>
            <w:r w:rsidR="005745B8" w:rsidRPr="005745B8">
              <w:rPr>
                <w:sz w:val="22"/>
                <w:szCs w:val="22"/>
                <w:lang w:val="en-US"/>
              </w:rPr>
              <w:t xml:space="preserve"> Sensory development and </w:t>
            </w:r>
            <w:proofErr w:type="spellStart"/>
            <w:r w:rsidR="005745B8" w:rsidRPr="005745B8">
              <w:rPr>
                <w:sz w:val="22"/>
                <w:szCs w:val="22"/>
                <w:lang w:val="en-US"/>
              </w:rPr>
              <w:t>locomotor</w:t>
            </w:r>
            <w:proofErr w:type="spellEnd"/>
            <w:r w:rsidR="005745B8" w:rsidRPr="005745B8">
              <w:rPr>
                <w:sz w:val="22"/>
                <w:szCs w:val="22"/>
                <w:lang w:val="en-US"/>
              </w:rPr>
              <w:t xml:space="preserve"> activity during infancy and childhood. Development of body-balance mechanisms from fetal growth to adult ages.</w:t>
            </w:r>
          </w:p>
          <w:p w:rsidR="005745B8" w:rsidRPr="005745B8" w:rsidRDefault="00DA0DED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</w:t>
            </w:r>
            <w:r w:rsidR="005745B8" w:rsidRPr="005745B8">
              <w:rPr>
                <w:sz w:val="22"/>
                <w:szCs w:val="22"/>
                <w:lang w:val="en-US"/>
              </w:rPr>
              <w:t>eek</w:t>
            </w:r>
            <w:r>
              <w:rPr>
                <w:sz w:val="22"/>
                <w:szCs w:val="22"/>
                <w:lang w:val="en-US"/>
              </w:rPr>
              <w:t xml:space="preserve"> 7</w:t>
            </w:r>
            <w:r w:rsidR="005745B8" w:rsidRPr="005745B8">
              <w:rPr>
                <w:sz w:val="22"/>
                <w:szCs w:val="22"/>
                <w:lang w:val="en-US"/>
              </w:rPr>
              <w:t xml:space="preserve"> Motor development in adolescence. Hormone-related changes in the </w:t>
            </w:r>
            <w:proofErr w:type="spellStart"/>
            <w:r w:rsidR="005745B8" w:rsidRPr="005745B8">
              <w:rPr>
                <w:sz w:val="22"/>
                <w:szCs w:val="22"/>
                <w:lang w:val="en-US"/>
              </w:rPr>
              <w:t>musculo</w:t>
            </w:r>
            <w:proofErr w:type="spellEnd"/>
            <w:r w:rsidR="005745B8" w:rsidRPr="005745B8">
              <w:rPr>
                <w:sz w:val="22"/>
                <w:szCs w:val="22"/>
                <w:lang w:val="en-US"/>
              </w:rPr>
              <w:t>-skeletal system.</w:t>
            </w:r>
          </w:p>
          <w:p w:rsidR="005745B8" w:rsidRPr="005745B8" w:rsidRDefault="00DA0DED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</w:t>
            </w:r>
            <w:r w:rsidR="005745B8" w:rsidRPr="005745B8">
              <w:rPr>
                <w:sz w:val="22"/>
                <w:szCs w:val="22"/>
                <w:lang w:val="en-US"/>
              </w:rPr>
              <w:t>eek</w:t>
            </w:r>
            <w:r>
              <w:rPr>
                <w:sz w:val="22"/>
                <w:szCs w:val="22"/>
                <w:lang w:val="en-US"/>
              </w:rPr>
              <w:t xml:space="preserve"> 8</w:t>
            </w:r>
            <w:r w:rsidR="005745B8" w:rsidRPr="005745B8">
              <w:rPr>
                <w:sz w:val="22"/>
                <w:szCs w:val="22"/>
                <w:lang w:val="en-US"/>
              </w:rPr>
              <w:t xml:space="preserve"> Developmental trends in physical activity.</w:t>
            </w:r>
          </w:p>
          <w:p w:rsidR="005745B8" w:rsidRPr="005745B8" w:rsidRDefault="00DA0DED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</w:t>
            </w:r>
            <w:r w:rsidR="005745B8" w:rsidRPr="005745B8">
              <w:rPr>
                <w:sz w:val="22"/>
                <w:szCs w:val="22"/>
                <w:lang w:val="en-US"/>
              </w:rPr>
              <w:t>eek</w:t>
            </w:r>
            <w:r>
              <w:rPr>
                <w:sz w:val="22"/>
                <w:szCs w:val="22"/>
                <w:lang w:val="en-US"/>
              </w:rPr>
              <w:t xml:space="preserve"> 9</w:t>
            </w:r>
            <w:r w:rsidR="005745B8" w:rsidRPr="005745B8">
              <w:rPr>
                <w:sz w:val="22"/>
                <w:szCs w:val="22"/>
                <w:lang w:val="en-US"/>
              </w:rPr>
              <w:t xml:space="preserve"> Chemical maturation in metabolic characteristics of the muscular s</w:t>
            </w:r>
            <w:r>
              <w:rPr>
                <w:sz w:val="22"/>
                <w:szCs w:val="22"/>
                <w:lang w:val="en-US"/>
              </w:rPr>
              <w:t xml:space="preserve">ystem during motor development. </w:t>
            </w:r>
            <w:r w:rsidR="005745B8" w:rsidRPr="005745B8">
              <w:rPr>
                <w:sz w:val="22"/>
                <w:szCs w:val="22"/>
                <w:lang w:val="en-US"/>
              </w:rPr>
              <w:t>Motor development in relation to mental development.</w:t>
            </w:r>
          </w:p>
          <w:p w:rsidR="005745B8" w:rsidRPr="00DA0DED" w:rsidRDefault="00DA0DED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</w:t>
            </w:r>
            <w:r w:rsidR="005745B8" w:rsidRPr="00DA0DED">
              <w:rPr>
                <w:sz w:val="22"/>
                <w:szCs w:val="22"/>
                <w:lang w:val="en-US"/>
              </w:rPr>
              <w:t>eek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en-US"/>
              </w:rPr>
              <w:t>10</w:t>
            </w:r>
            <w:r w:rsidR="005745B8" w:rsidRPr="00DA0DED">
              <w:rPr>
                <w:sz w:val="22"/>
                <w:szCs w:val="22"/>
                <w:lang w:val="en-US"/>
              </w:rPr>
              <w:t xml:space="preserve">  Environmental</w:t>
            </w:r>
            <w:proofErr w:type="gramEnd"/>
            <w:r w:rsidR="005745B8" w:rsidRPr="00DA0DED">
              <w:rPr>
                <w:sz w:val="22"/>
                <w:szCs w:val="22"/>
                <w:lang w:val="en-US"/>
              </w:rPr>
              <w:t xml:space="preserve"> factors in motor development. Gene expression.</w:t>
            </w:r>
          </w:p>
          <w:p w:rsidR="005745B8" w:rsidRPr="00DA0DED" w:rsidRDefault="00DA0DED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</w:t>
            </w:r>
            <w:r w:rsidR="005745B8" w:rsidRPr="00DA0DED">
              <w:rPr>
                <w:sz w:val="22"/>
                <w:szCs w:val="22"/>
                <w:lang w:val="en-US"/>
              </w:rPr>
              <w:t>eek</w:t>
            </w:r>
            <w:r>
              <w:rPr>
                <w:sz w:val="22"/>
                <w:szCs w:val="22"/>
                <w:lang w:val="en-US"/>
              </w:rPr>
              <w:t xml:space="preserve"> 11</w:t>
            </w:r>
            <w:r w:rsidR="005745B8" w:rsidRPr="00DA0DED">
              <w:rPr>
                <w:sz w:val="22"/>
                <w:szCs w:val="22"/>
                <w:lang w:val="en-US"/>
              </w:rPr>
              <w:t xml:space="preserve"> Somatotype and nutritional factors in motor development. </w:t>
            </w:r>
          </w:p>
          <w:p w:rsidR="005745B8" w:rsidRPr="00DA0DED" w:rsidRDefault="00DA0DED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</w:t>
            </w:r>
            <w:r w:rsidR="005745B8" w:rsidRPr="00DA0DED">
              <w:rPr>
                <w:sz w:val="22"/>
                <w:szCs w:val="22"/>
                <w:lang w:val="en-US"/>
              </w:rPr>
              <w:t>eek</w:t>
            </w:r>
            <w:r>
              <w:rPr>
                <w:sz w:val="22"/>
                <w:szCs w:val="22"/>
                <w:lang w:val="en-US"/>
              </w:rPr>
              <w:t xml:space="preserve"> 12</w:t>
            </w:r>
            <w:r w:rsidR="005745B8" w:rsidRPr="00DA0DED">
              <w:rPr>
                <w:sz w:val="22"/>
                <w:szCs w:val="22"/>
                <w:lang w:val="en-US"/>
              </w:rPr>
              <w:t xml:space="preserve"> Motor abilities from the adult ages up to the senescence.</w:t>
            </w:r>
          </w:p>
          <w:p w:rsidR="005745B8" w:rsidRPr="00DA0DED" w:rsidRDefault="00DA0DED" w:rsidP="00910862">
            <w:pPr>
              <w:pStyle w:val="Szvegtrzsbehzssal"/>
              <w:spacing w:after="0"/>
              <w:ind w:left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W</w:t>
            </w:r>
            <w:r w:rsidR="005745B8" w:rsidRPr="00DA0DED">
              <w:rPr>
                <w:sz w:val="22"/>
                <w:szCs w:val="22"/>
                <w:lang w:val="en-US"/>
              </w:rPr>
              <w:t>eek</w:t>
            </w:r>
            <w:r>
              <w:rPr>
                <w:sz w:val="22"/>
                <w:szCs w:val="22"/>
                <w:lang w:val="en-US"/>
              </w:rPr>
              <w:t xml:space="preserve"> 13</w:t>
            </w:r>
            <w:r w:rsidR="005745B8" w:rsidRPr="00DA0DED">
              <w:rPr>
                <w:sz w:val="22"/>
                <w:szCs w:val="22"/>
                <w:lang w:val="en-US"/>
              </w:rPr>
              <w:t xml:space="preserve"> Risk factors in motor development.</w:t>
            </w:r>
          </w:p>
          <w:p w:rsidR="00666AA6" w:rsidRPr="004E203A" w:rsidRDefault="00666AA6" w:rsidP="00DA0DED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Default="00666AA6">
            <w:pPr>
              <w:rPr>
                <w:lang w:val="en-GB"/>
              </w:rPr>
            </w:pPr>
            <w:r w:rsidRPr="004E203A">
              <w:rPr>
                <w:lang w:val="en-GB"/>
              </w:rPr>
              <w:t>Attending lectures is highly recommended</w:t>
            </w:r>
            <w:r w:rsidR="007C0487">
              <w:rPr>
                <w:lang w:val="en-GB"/>
              </w:rPr>
              <w:t>.</w:t>
            </w:r>
          </w:p>
          <w:p w:rsidR="00856D23" w:rsidRPr="004E203A" w:rsidRDefault="00B30308" w:rsidP="00856D23">
            <w:pPr>
              <w:rPr>
                <w:lang w:val="en-GB"/>
              </w:rPr>
            </w:pPr>
            <w:r>
              <w:rPr>
                <w:lang w:val="en-GB"/>
              </w:rPr>
              <w:t>2 home works (</w:t>
            </w:r>
            <w:proofErr w:type="spellStart"/>
            <w:r>
              <w:rPr>
                <w:lang w:val="en-GB"/>
              </w:rPr>
              <w:t>esignements</w:t>
            </w:r>
            <w:proofErr w:type="spellEnd"/>
            <w:r>
              <w:rPr>
                <w:lang w:val="en-GB"/>
              </w:rPr>
              <w:t>) within the Semester describing motor abilities, developmental state of a given age group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666AA6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Most common questions in the structure of </w:t>
            </w:r>
            <w:r w:rsidR="00C505A4">
              <w:rPr>
                <w:rStyle w:val="Szvegtrzs2Char"/>
                <w:b w:val="0"/>
                <w:lang w:val="en-GB"/>
              </w:rPr>
              <w:t xml:space="preserve">end term </w:t>
            </w:r>
            <w:r w:rsidRPr="004E203A">
              <w:rPr>
                <w:rStyle w:val="Szvegtrzs2Char"/>
                <w:b w:val="0"/>
                <w:lang w:val="en-GB"/>
              </w:rPr>
              <w:t>examination are: describing notions, relations, recognizing figures, analysis</w:t>
            </w:r>
            <w:r w:rsidR="007C0487">
              <w:rPr>
                <w:rStyle w:val="Szvegtrzs2Char"/>
                <w:b w:val="0"/>
                <w:lang w:val="en-GB"/>
              </w:rPr>
              <w:t>, multiple choice questions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:rsidR="003C1815" w:rsidRDefault="00B30308" w:rsidP="003C1815">
            <w:pPr>
              <w:rPr>
                <w:bCs/>
              </w:rPr>
            </w:pPr>
            <w:r>
              <w:rPr>
                <w:bCs/>
              </w:rPr>
              <w:t>1</w:t>
            </w:r>
            <w:r w:rsidR="003C1815" w:rsidRPr="003045D8">
              <w:rPr>
                <w:bCs/>
              </w:rPr>
              <w:t xml:space="preserve"> </w:t>
            </w:r>
            <w:proofErr w:type="spellStart"/>
            <w:r w:rsidR="003C1815" w:rsidRPr="003045D8">
              <w:rPr>
                <w:bCs/>
              </w:rPr>
              <w:t>written</w:t>
            </w:r>
            <w:proofErr w:type="spellEnd"/>
            <w:r w:rsidR="003C1815" w:rsidRPr="003045D8">
              <w:rPr>
                <w:bCs/>
              </w:rPr>
              <w:t xml:space="preserve"> </w:t>
            </w:r>
            <w:proofErr w:type="spellStart"/>
            <w:r w:rsidR="003C1815">
              <w:rPr>
                <w:bCs/>
              </w:rPr>
              <w:t>test</w:t>
            </w:r>
            <w:r w:rsidR="003C1815" w:rsidRPr="003045D8">
              <w:rPr>
                <w:bCs/>
              </w:rPr>
              <w:t>s</w:t>
            </w:r>
            <w:proofErr w:type="spellEnd"/>
            <w:r w:rsidR="003C1815">
              <w:rPr>
                <w:bCs/>
              </w:rPr>
              <w:t xml:space="preserve"> </w:t>
            </w:r>
            <w:proofErr w:type="spellStart"/>
            <w:r w:rsidR="003C1815" w:rsidRPr="003045D8">
              <w:rPr>
                <w:bCs/>
              </w:rPr>
              <w:t>in</w:t>
            </w:r>
            <w:proofErr w:type="spellEnd"/>
            <w:r w:rsidR="003C1815" w:rsidRPr="003045D8">
              <w:rPr>
                <w:bCs/>
              </w:rPr>
              <w:t xml:space="preserve"> </w:t>
            </w:r>
            <w:proofErr w:type="spellStart"/>
            <w:r w:rsidR="003C1815" w:rsidRPr="003045D8">
              <w:rPr>
                <w:bCs/>
              </w:rPr>
              <w:t>the</w:t>
            </w:r>
            <w:proofErr w:type="spellEnd"/>
            <w:r w:rsidR="003C1815" w:rsidRPr="003045D8">
              <w:rPr>
                <w:bCs/>
              </w:rPr>
              <w:t xml:space="preserve"> </w:t>
            </w:r>
            <w:proofErr w:type="spellStart"/>
            <w:r w:rsidR="003C1815" w:rsidRPr="003045D8">
              <w:rPr>
                <w:bCs/>
              </w:rPr>
              <w:t>Semester</w:t>
            </w:r>
            <w:proofErr w:type="spellEnd"/>
          </w:p>
          <w:p w:rsidR="003C1815" w:rsidRPr="00B065C9" w:rsidRDefault="003C1815" w:rsidP="003C181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Final score:</w:t>
            </w:r>
            <w:r w:rsidRPr="00B065C9">
              <w:rPr>
                <w:lang w:val="en-US"/>
              </w:rPr>
              <w:t xml:space="preserve"> 1/3</w:t>
            </w:r>
            <w:r>
              <w:rPr>
                <w:lang w:val="en-US"/>
              </w:rPr>
              <w:t xml:space="preserve"> from the written test scores</w:t>
            </w:r>
            <w:r w:rsidR="00B30308">
              <w:rPr>
                <w:lang w:val="en-US"/>
              </w:rPr>
              <w:t>+ home works</w:t>
            </w:r>
            <w:r>
              <w:rPr>
                <w:lang w:val="en-US"/>
              </w:rPr>
              <w:t xml:space="preserve"> +</w:t>
            </w:r>
            <w:r w:rsidRPr="00B065C9">
              <w:rPr>
                <w:lang w:val="en-US"/>
              </w:rPr>
              <w:t xml:space="preserve"> 2/3 </w:t>
            </w:r>
            <w:r>
              <w:rPr>
                <w:lang w:val="en-US"/>
              </w:rPr>
              <w:t>from the exam score</w:t>
            </w:r>
            <w:r w:rsidRPr="00B065C9">
              <w:rPr>
                <w:lang w:val="en-US"/>
              </w:rPr>
              <w:t>:</w:t>
            </w:r>
          </w:p>
          <w:p w:rsidR="00856D23" w:rsidRPr="00B065C9" w:rsidRDefault="00856D23" w:rsidP="00856D23">
            <w:pPr>
              <w:rPr>
                <w:b/>
                <w:bCs/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Written exam in the exam period.</w:t>
            </w:r>
          </w:p>
          <w:p w:rsidR="00856D23" w:rsidRPr="00B065C9" w:rsidRDefault="00856D23" w:rsidP="00856D23">
            <w:p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Final marks</w:t>
            </w:r>
            <w:r w:rsidRPr="00B065C9">
              <w:rPr>
                <w:szCs w:val="20"/>
                <w:lang w:val="en-US"/>
              </w:rPr>
              <w:t>: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 xml:space="preserve">  0–49% </w:t>
            </w:r>
            <w:r>
              <w:rPr>
                <w:szCs w:val="20"/>
                <w:lang w:val="en-US"/>
              </w:rPr>
              <w:t>not satisfactory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 xml:space="preserve">50–64% </w:t>
            </w:r>
            <w:r>
              <w:rPr>
                <w:szCs w:val="20"/>
                <w:lang w:val="en-US"/>
              </w:rPr>
              <w:t>satisfactory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>65–74%</w:t>
            </w:r>
            <w:r>
              <w:rPr>
                <w:szCs w:val="20"/>
                <w:lang w:val="en-US"/>
              </w:rPr>
              <w:t xml:space="preserve"> average</w:t>
            </w:r>
          </w:p>
          <w:p w:rsidR="00856D23" w:rsidRPr="00B065C9" w:rsidRDefault="00856D23" w:rsidP="00856D23">
            <w:pPr>
              <w:ind w:left="708"/>
              <w:rPr>
                <w:szCs w:val="20"/>
                <w:lang w:val="en-US"/>
              </w:rPr>
            </w:pPr>
            <w:r w:rsidRPr="00B065C9">
              <w:rPr>
                <w:szCs w:val="20"/>
                <w:lang w:val="en-US"/>
              </w:rPr>
              <w:t>75–84%</w:t>
            </w:r>
            <w:r>
              <w:rPr>
                <w:szCs w:val="20"/>
                <w:lang w:val="en-US"/>
              </w:rPr>
              <w:t xml:space="preserve"> good</w:t>
            </w:r>
          </w:p>
          <w:p w:rsidR="00856D23" w:rsidRPr="004E203A" w:rsidRDefault="00856D23" w:rsidP="00856D23">
            <w:pPr>
              <w:rPr>
                <w:lang w:val="en-GB"/>
              </w:rPr>
            </w:pPr>
            <w:r w:rsidRPr="00B065C9">
              <w:rPr>
                <w:szCs w:val="20"/>
                <w:lang w:val="en-US"/>
              </w:rPr>
              <w:t xml:space="preserve">              85–100%</w:t>
            </w:r>
            <w:r>
              <w:rPr>
                <w:szCs w:val="20"/>
                <w:lang w:val="en-US"/>
              </w:rPr>
              <w:t xml:space="preserve"> excellent</w:t>
            </w:r>
          </w:p>
          <w:p w:rsidR="00666AA6" w:rsidRPr="004E203A" w:rsidRDefault="00666AA6" w:rsidP="00856D23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3C1815" w:rsidRPr="003C1815" w:rsidRDefault="003C1815" w:rsidP="00910862">
            <w:pPr>
              <w:pStyle w:val="Szvegtrzsbehzssal"/>
              <w:spacing w:after="0"/>
              <w:ind w:left="0"/>
              <w:rPr>
                <w:sz w:val="22"/>
                <w:szCs w:val="22"/>
              </w:rPr>
            </w:pPr>
            <w:r w:rsidRPr="003C1815">
              <w:rPr>
                <w:rStyle w:val="citation"/>
                <w:sz w:val="22"/>
                <w:szCs w:val="22"/>
              </w:rPr>
              <w:t xml:space="preserve">1. Lee, </w:t>
            </w:r>
            <w:proofErr w:type="spellStart"/>
            <w:r w:rsidRPr="003C1815">
              <w:rPr>
                <w:rStyle w:val="citation"/>
                <w:sz w:val="22"/>
                <w:szCs w:val="22"/>
              </w:rPr>
              <w:t>Timothy</w:t>
            </w:r>
            <w:proofErr w:type="spellEnd"/>
            <w:r w:rsidRPr="003C1815">
              <w:rPr>
                <w:rStyle w:val="citation"/>
                <w:sz w:val="22"/>
                <w:szCs w:val="22"/>
              </w:rPr>
              <w:t xml:space="preserve"> Donald; Schmidt, Richard </w:t>
            </w:r>
            <w:proofErr w:type="spellStart"/>
            <w:r w:rsidRPr="003C1815">
              <w:rPr>
                <w:rStyle w:val="citation"/>
                <w:sz w:val="22"/>
                <w:szCs w:val="22"/>
              </w:rPr>
              <w:t>Penrose</w:t>
            </w:r>
            <w:proofErr w:type="spellEnd"/>
            <w:r w:rsidRPr="003C1815">
              <w:rPr>
                <w:rStyle w:val="citation"/>
                <w:sz w:val="22"/>
                <w:szCs w:val="22"/>
              </w:rPr>
              <w:t xml:space="preserve"> (1999). </w:t>
            </w:r>
            <w:r w:rsidRPr="003C1815">
              <w:rPr>
                <w:rStyle w:val="citation"/>
                <w:i/>
                <w:iCs/>
                <w:sz w:val="22"/>
                <w:szCs w:val="22"/>
              </w:rPr>
              <w:t xml:space="preserve">Motor </w:t>
            </w:r>
            <w:proofErr w:type="spellStart"/>
            <w:r w:rsidRPr="003C1815">
              <w:rPr>
                <w:rStyle w:val="citation"/>
                <w:i/>
                <w:iCs/>
                <w:sz w:val="22"/>
                <w:szCs w:val="22"/>
              </w:rPr>
              <w:t>control</w:t>
            </w:r>
            <w:proofErr w:type="spellEnd"/>
            <w:r w:rsidRPr="003C1815">
              <w:rPr>
                <w:rStyle w:val="citation"/>
                <w:i/>
                <w:iCs/>
                <w:sz w:val="22"/>
                <w:szCs w:val="22"/>
              </w:rPr>
              <w:t xml:space="preserve"> and </w:t>
            </w:r>
            <w:proofErr w:type="spellStart"/>
            <w:r w:rsidRPr="003C1815">
              <w:rPr>
                <w:rStyle w:val="citation"/>
                <w:i/>
                <w:iCs/>
                <w:sz w:val="22"/>
                <w:szCs w:val="22"/>
              </w:rPr>
              <w:t>learning</w:t>
            </w:r>
            <w:proofErr w:type="spellEnd"/>
            <w:r w:rsidRPr="003C1815">
              <w:rPr>
                <w:rStyle w:val="citation"/>
                <w:i/>
                <w:iCs/>
                <w:sz w:val="22"/>
                <w:szCs w:val="22"/>
              </w:rPr>
              <w:t xml:space="preserve">: a </w:t>
            </w:r>
            <w:proofErr w:type="spellStart"/>
            <w:r w:rsidRPr="003C1815">
              <w:rPr>
                <w:rStyle w:val="citation"/>
                <w:i/>
                <w:iCs/>
                <w:sz w:val="22"/>
                <w:szCs w:val="22"/>
              </w:rPr>
              <w:t>behavioral</w:t>
            </w:r>
            <w:proofErr w:type="spellEnd"/>
            <w:r w:rsidRPr="003C1815">
              <w:rPr>
                <w:rStyle w:val="citatio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C1815">
              <w:rPr>
                <w:rStyle w:val="citation"/>
                <w:i/>
                <w:iCs/>
                <w:sz w:val="22"/>
                <w:szCs w:val="22"/>
              </w:rPr>
              <w:t>emphasis</w:t>
            </w:r>
            <w:proofErr w:type="spellEnd"/>
            <w:r w:rsidRPr="003C1815">
              <w:rPr>
                <w:rStyle w:val="citation"/>
                <w:sz w:val="22"/>
                <w:szCs w:val="22"/>
              </w:rPr>
              <w:t xml:space="preserve">. </w:t>
            </w:r>
            <w:proofErr w:type="spellStart"/>
            <w:r w:rsidRPr="003C1815">
              <w:rPr>
                <w:rStyle w:val="citation"/>
                <w:sz w:val="22"/>
                <w:szCs w:val="22"/>
              </w:rPr>
              <w:t>Champaign</w:t>
            </w:r>
            <w:proofErr w:type="spellEnd"/>
            <w:r w:rsidRPr="003C1815">
              <w:rPr>
                <w:rStyle w:val="citation"/>
                <w:sz w:val="22"/>
                <w:szCs w:val="22"/>
              </w:rPr>
              <w:t xml:space="preserve">, IL: Human </w:t>
            </w:r>
            <w:proofErr w:type="spellStart"/>
            <w:r w:rsidRPr="003C1815">
              <w:rPr>
                <w:rStyle w:val="citation"/>
                <w:sz w:val="22"/>
                <w:szCs w:val="22"/>
              </w:rPr>
              <w:t>Kinetics</w:t>
            </w:r>
            <w:proofErr w:type="spellEnd"/>
            <w:r w:rsidRPr="003C1815">
              <w:rPr>
                <w:rStyle w:val="citation"/>
                <w:sz w:val="22"/>
                <w:szCs w:val="22"/>
              </w:rPr>
              <w:t xml:space="preserve">. </w:t>
            </w:r>
            <w:hyperlink r:id="rId8" w:tooltip="International Standard Book Number" w:history="1">
              <w:r w:rsidRPr="003C1815">
                <w:rPr>
                  <w:rStyle w:val="Hiperhivatkozs"/>
                  <w:sz w:val="22"/>
                  <w:szCs w:val="22"/>
                </w:rPr>
                <w:t>ISBN</w:t>
              </w:r>
            </w:hyperlink>
            <w:r w:rsidRPr="003C1815">
              <w:rPr>
                <w:rStyle w:val="citation"/>
                <w:sz w:val="22"/>
                <w:szCs w:val="22"/>
              </w:rPr>
              <w:t> </w:t>
            </w:r>
            <w:hyperlink r:id="rId9" w:tooltip="Special:BookSources/0-88011-484-3" w:history="1">
              <w:r w:rsidRPr="003C1815">
                <w:rPr>
                  <w:rStyle w:val="Hiperhivatkozs"/>
                  <w:sz w:val="22"/>
                  <w:szCs w:val="22"/>
                </w:rPr>
                <w:t>0-88011-484-3</w:t>
              </w:r>
            </w:hyperlink>
            <w:r w:rsidRPr="003C1815">
              <w:rPr>
                <w:rStyle w:val="citation"/>
                <w:sz w:val="22"/>
                <w:szCs w:val="22"/>
              </w:rPr>
              <w:t>.</w:t>
            </w:r>
          </w:p>
          <w:p w:rsidR="003C1815" w:rsidRPr="003C1815" w:rsidRDefault="00910862" w:rsidP="009108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3C1815" w:rsidRPr="003C1815">
              <w:rPr>
                <w:sz w:val="22"/>
                <w:szCs w:val="22"/>
              </w:rPr>
              <w:t xml:space="preserve">Espenschade </w:t>
            </w:r>
            <w:proofErr w:type="gramStart"/>
            <w:r w:rsidR="003C1815" w:rsidRPr="003C1815">
              <w:rPr>
                <w:sz w:val="22"/>
                <w:szCs w:val="22"/>
              </w:rPr>
              <w:t>A</w:t>
            </w:r>
            <w:proofErr w:type="gramEnd"/>
            <w:r w:rsidR="003C1815" w:rsidRPr="003C1815">
              <w:rPr>
                <w:sz w:val="22"/>
                <w:szCs w:val="22"/>
              </w:rPr>
              <w:t xml:space="preserve">., Eckert H. (1980): Motor </w:t>
            </w:r>
            <w:proofErr w:type="spellStart"/>
            <w:r w:rsidR="003C1815" w:rsidRPr="003C1815">
              <w:rPr>
                <w:sz w:val="22"/>
                <w:szCs w:val="22"/>
              </w:rPr>
              <w:t>development</w:t>
            </w:r>
            <w:proofErr w:type="spellEnd"/>
            <w:r w:rsidR="003C1815" w:rsidRPr="003C1815">
              <w:rPr>
                <w:sz w:val="22"/>
                <w:szCs w:val="22"/>
              </w:rPr>
              <w:t xml:space="preserve">. – </w:t>
            </w:r>
            <w:proofErr w:type="spellStart"/>
            <w:r w:rsidR="003C1815" w:rsidRPr="003C1815">
              <w:rPr>
                <w:sz w:val="22"/>
                <w:szCs w:val="22"/>
              </w:rPr>
              <w:t>Ch</w:t>
            </w:r>
            <w:proofErr w:type="spellEnd"/>
            <w:r w:rsidR="003C1815" w:rsidRPr="003C1815">
              <w:rPr>
                <w:sz w:val="22"/>
                <w:szCs w:val="22"/>
              </w:rPr>
              <w:t xml:space="preserve">. E. </w:t>
            </w:r>
            <w:proofErr w:type="spellStart"/>
            <w:proofErr w:type="gramStart"/>
            <w:r w:rsidR="003C1815" w:rsidRPr="003C1815">
              <w:rPr>
                <w:sz w:val="22"/>
                <w:szCs w:val="22"/>
              </w:rPr>
              <w:t>Merill</w:t>
            </w:r>
            <w:proofErr w:type="spellEnd"/>
            <w:r w:rsidR="003C1815" w:rsidRPr="003C1815">
              <w:rPr>
                <w:sz w:val="22"/>
                <w:szCs w:val="22"/>
              </w:rPr>
              <w:t xml:space="preserve">  Publishing</w:t>
            </w:r>
            <w:proofErr w:type="gramEnd"/>
            <w:r w:rsidR="003C1815" w:rsidRPr="003C1815">
              <w:rPr>
                <w:sz w:val="22"/>
                <w:szCs w:val="22"/>
              </w:rPr>
              <w:t xml:space="preserve"> Co.</w:t>
            </w:r>
            <w:r w:rsidR="003C1815">
              <w:rPr>
                <w:sz w:val="22"/>
                <w:szCs w:val="22"/>
              </w:rPr>
              <w:t xml:space="preserve"> </w:t>
            </w:r>
            <w:r w:rsidR="003C1815" w:rsidRPr="003C1815">
              <w:rPr>
                <w:sz w:val="22"/>
                <w:szCs w:val="22"/>
              </w:rPr>
              <w:t xml:space="preserve">   349 p.</w:t>
            </w:r>
          </w:p>
          <w:p w:rsidR="003C1815" w:rsidRPr="003C1815" w:rsidRDefault="00910862" w:rsidP="009108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3C1815" w:rsidRPr="003C1815">
              <w:rPr>
                <w:sz w:val="22"/>
                <w:szCs w:val="22"/>
              </w:rPr>
              <w:t xml:space="preserve">Haywood K. (1993): Life </w:t>
            </w:r>
            <w:proofErr w:type="spellStart"/>
            <w:r w:rsidR="003C1815" w:rsidRPr="003C1815">
              <w:rPr>
                <w:sz w:val="22"/>
                <w:szCs w:val="22"/>
              </w:rPr>
              <w:t>span</w:t>
            </w:r>
            <w:proofErr w:type="spellEnd"/>
            <w:r w:rsidR="003C1815" w:rsidRPr="003C1815">
              <w:rPr>
                <w:sz w:val="22"/>
                <w:szCs w:val="22"/>
              </w:rPr>
              <w:t xml:space="preserve"> motor </w:t>
            </w:r>
            <w:proofErr w:type="spellStart"/>
            <w:r w:rsidR="003C1815" w:rsidRPr="003C1815">
              <w:rPr>
                <w:sz w:val="22"/>
                <w:szCs w:val="22"/>
              </w:rPr>
              <w:t>development</w:t>
            </w:r>
            <w:proofErr w:type="spellEnd"/>
            <w:r w:rsidR="003C1815" w:rsidRPr="003C1815">
              <w:rPr>
                <w:sz w:val="22"/>
                <w:szCs w:val="22"/>
              </w:rPr>
              <w:t xml:space="preserve">. - Human </w:t>
            </w:r>
            <w:proofErr w:type="spellStart"/>
            <w:r w:rsidR="003C1815" w:rsidRPr="003C1815">
              <w:rPr>
                <w:sz w:val="22"/>
                <w:szCs w:val="22"/>
              </w:rPr>
              <w:t>Kinetics</w:t>
            </w:r>
            <w:proofErr w:type="spellEnd"/>
            <w:r w:rsidR="003C1815" w:rsidRPr="003C1815">
              <w:rPr>
                <w:sz w:val="22"/>
                <w:szCs w:val="22"/>
              </w:rPr>
              <w:t xml:space="preserve"> Publisher</w:t>
            </w:r>
          </w:p>
          <w:p w:rsidR="00666AA6" w:rsidRPr="004E203A" w:rsidRDefault="00910862" w:rsidP="00910862">
            <w:pPr>
              <w:rPr>
                <w:szCs w:val="20"/>
                <w:lang w:val="en-GB"/>
              </w:rPr>
            </w:pPr>
            <w:r>
              <w:rPr>
                <w:rStyle w:val="reference-text"/>
                <w:sz w:val="22"/>
                <w:szCs w:val="22"/>
              </w:rPr>
              <w:t>4.</w:t>
            </w:r>
            <w:r w:rsidR="003C1815" w:rsidRPr="003C1815">
              <w:rPr>
                <w:rStyle w:val="reference-text"/>
                <w:sz w:val="22"/>
                <w:szCs w:val="22"/>
              </w:rPr>
              <w:t>Becker, J</w:t>
            </w:r>
            <w:proofErr w:type="gramStart"/>
            <w:r w:rsidR="003C1815" w:rsidRPr="003C1815">
              <w:rPr>
                <w:rStyle w:val="reference-text"/>
                <w:sz w:val="22"/>
                <w:szCs w:val="22"/>
              </w:rPr>
              <w:t>.,</w:t>
            </w:r>
            <w:proofErr w:type="gramEnd"/>
            <w:r w:rsidR="003C1815" w:rsidRPr="003C1815">
              <w:rPr>
                <w:rStyle w:val="reference-text"/>
                <w:sz w:val="22"/>
                <w:szCs w:val="22"/>
              </w:rPr>
              <w:t xml:space="preserve">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Berkley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 xml:space="preserve">, K.,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Geary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 xml:space="preserve">, N.,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Hampson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 xml:space="preserve">, E., Herman, J., &amp; Young, E. (2008). Sex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differences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 xml:space="preserve">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in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 xml:space="preserve">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the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 xml:space="preserve">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brain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 xml:space="preserve">: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From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 xml:space="preserve">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genes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 xml:space="preserve">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to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 xml:space="preserve"> </w:t>
            </w:r>
            <w:proofErr w:type="spellStart"/>
            <w:r w:rsidR="003C1815" w:rsidRPr="003C1815">
              <w:rPr>
                <w:rStyle w:val="reference-text"/>
                <w:sz w:val="22"/>
                <w:szCs w:val="22"/>
              </w:rPr>
              <w:t>behavior</w:t>
            </w:r>
            <w:proofErr w:type="spellEnd"/>
            <w:r w:rsidR="003C1815" w:rsidRPr="003C1815">
              <w:rPr>
                <w:rStyle w:val="reference-text"/>
                <w:sz w:val="22"/>
                <w:szCs w:val="22"/>
              </w:rPr>
              <w:t>. (p. 156). New York, NY: Oxford University Press, Inc.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666AA6" w:rsidRPr="00910862" w:rsidRDefault="00910862" w:rsidP="00910862">
            <w:pPr>
              <w:autoSpaceDE/>
              <w:rPr>
                <w:lang w:val="en-GB"/>
              </w:rPr>
            </w:pPr>
            <w:r>
              <w:rPr>
                <w:lang w:val="en-GB"/>
              </w:rPr>
              <w:t>1.</w:t>
            </w:r>
            <w:bookmarkStart w:id="1" w:name="_GoBack"/>
            <w:bookmarkEnd w:id="1"/>
            <w:r w:rsidR="004E203A" w:rsidRPr="00910862">
              <w:rPr>
                <w:lang w:val="en-GB"/>
              </w:rPr>
              <w:t>An electronic textbook is available from the lecturer.</w:t>
            </w:r>
          </w:p>
          <w:p w:rsidR="007C0487" w:rsidRPr="004E203A" w:rsidRDefault="007C0487" w:rsidP="00BD5AC2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BD5AC2" w:rsidP="00BD5AC2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9 May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C048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Márta</w:t>
            </w:r>
            <w:proofErr w:type="spellEnd"/>
            <w:r w:rsidR="00BD5AC2">
              <w:rPr>
                <w:szCs w:val="20"/>
                <w:lang w:val="en-GB"/>
              </w:rPr>
              <w:t xml:space="preserve"> WILHELM</w:t>
            </w:r>
          </w:p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AC2" w:rsidRDefault="007C0487" w:rsidP="00BD5AC2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Márk</w:t>
            </w:r>
            <w:proofErr w:type="spellEnd"/>
            <w:r w:rsidR="00BD5AC2">
              <w:rPr>
                <w:szCs w:val="20"/>
                <w:lang w:val="en-GB"/>
              </w:rPr>
              <w:t xml:space="preserve"> </w:t>
            </w:r>
            <w:proofErr w:type="spellStart"/>
            <w:r w:rsidR="00BD5AC2">
              <w:rPr>
                <w:szCs w:val="20"/>
                <w:lang w:val="en-GB"/>
              </w:rPr>
              <w:t>Váczi</w:t>
            </w:r>
            <w:proofErr w:type="spellEnd"/>
          </w:p>
          <w:p w:rsidR="00666AA6" w:rsidRPr="004E203A" w:rsidRDefault="007C0487" w:rsidP="00BD5AC2">
            <w:pPr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10"/>
      <w:headerReference w:type="first" r:id="rId11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CF8" w:rsidRDefault="009B0CF8">
      <w:r>
        <w:separator/>
      </w:r>
    </w:p>
  </w:endnote>
  <w:endnote w:type="continuationSeparator" w:id="0">
    <w:p w:rsidR="009B0CF8" w:rsidRDefault="009B0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CF8" w:rsidRDefault="009B0CF8">
      <w:r>
        <w:separator/>
      </w:r>
    </w:p>
  </w:footnote>
  <w:footnote w:type="continuationSeparator" w:id="0">
    <w:p w:rsidR="009B0CF8" w:rsidRDefault="009B0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910862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8931F01"/>
    <w:multiLevelType w:val="singleLevel"/>
    <w:tmpl w:val="4B42784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B6E25E7"/>
    <w:multiLevelType w:val="hybridMultilevel"/>
    <w:tmpl w:val="87126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65156"/>
    <w:rsid w:val="00077440"/>
    <w:rsid w:val="000A7B4B"/>
    <w:rsid w:val="000C56F2"/>
    <w:rsid w:val="001154D6"/>
    <w:rsid w:val="002B022E"/>
    <w:rsid w:val="003C1815"/>
    <w:rsid w:val="004E203A"/>
    <w:rsid w:val="005745B8"/>
    <w:rsid w:val="00580334"/>
    <w:rsid w:val="005B5BFB"/>
    <w:rsid w:val="00666AA6"/>
    <w:rsid w:val="006843B5"/>
    <w:rsid w:val="006965B3"/>
    <w:rsid w:val="006A2AD1"/>
    <w:rsid w:val="007C0487"/>
    <w:rsid w:val="007D6A24"/>
    <w:rsid w:val="00856D23"/>
    <w:rsid w:val="00910862"/>
    <w:rsid w:val="00956E58"/>
    <w:rsid w:val="00962AF4"/>
    <w:rsid w:val="009B0CF8"/>
    <w:rsid w:val="00A2542F"/>
    <w:rsid w:val="00A54C78"/>
    <w:rsid w:val="00B12209"/>
    <w:rsid w:val="00B30308"/>
    <w:rsid w:val="00BD5AC2"/>
    <w:rsid w:val="00C505A4"/>
    <w:rsid w:val="00D87B9B"/>
    <w:rsid w:val="00DA0DED"/>
    <w:rsid w:val="00E26A17"/>
    <w:rsid w:val="00ED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uiPriority w:val="99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0C56F2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0C56F2"/>
    <w:rPr>
      <w:szCs w:val="24"/>
      <w:lang w:eastAsia="zh-CN"/>
    </w:rPr>
  </w:style>
  <w:style w:type="paragraph" w:styleId="Szvegtrzsbehzssal">
    <w:name w:val="Body Text Indent"/>
    <w:basedOn w:val="Norml"/>
    <w:link w:val="SzvegtrzsbehzssalChar"/>
    <w:rsid w:val="00077440"/>
    <w:pPr>
      <w:suppressAutoHyphens w:val="0"/>
      <w:autoSpaceDN w:val="0"/>
      <w:spacing w:after="120"/>
      <w:ind w:left="283"/>
    </w:pPr>
    <w:rPr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077440"/>
    <w:rPr>
      <w:szCs w:val="24"/>
      <w:lang w:eastAsia="en-US"/>
    </w:rPr>
  </w:style>
  <w:style w:type="character" w:customStyle="1" w:styleId="reference-text">
    <w:name w:val="reference-text"/>
    <w:rsid w:val="00BD5AC2"/>
  </w:style>
  <w:style w:type="character" w:customStyle="1" w:styleId="citation">
    <w:name w:val="citation"/>
    <w:rsid w:val="003C1815"/>
  </w:style>
  <w:style w:type="character" w:styleId="Hiperhivatkozs">
    <w:name w:val="Hyperlink"/>
    <w:uiPriority w:val="99"/>
    <w:unhideWhenUsed/>
    <w:rsid w:val="003C18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uiPriority w:val="99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paragraph" w:styleId="Szvegtrzs2">
    <w:name w:val="Body Text 2"/>
    <w:basedOn w:val="Norml"/>
    <w:link w:val="Szvegtrzs2Char1"/>
    <w:uiPriority w:val="99"/>
    <w:semiHidden/>
    <w:unhideWhenUsed/>
    <w:rsid w:val="000C56F2"/>
    <w:pPr>
      <w:spacing w:after="120" w:line="480" w:lineRule="auto"/>
    </w:pPr>
  </w:style>
  <w:style w:type="character" w:customStyle="1" w:styleId="Szvegtrzs2Char1">
    <w:name w:val="Szövegtörzs 2 Char1"/>
    <w:basedOn w:val="Bekezdsalapbettpusa"/>
    <w:link w:val="Szvegtrzs2"/>
    <w:uiPriority w:val="99"/>
    <w:semiHidden/>
    <w:rsid w:val="000C56F2"/>
    <w:rPr>
      <w:szCs w:val="24"/>
      <w:lang w:eastAsia="zh-CN"/>
    </w:rPr>
  </w:style>
  <w:style w:type="paragraph" w:styleId="Szvegtrzsbehzssal">
    <w:name w:val="Body Text Indent"/>
    <w:basedOn w:val="Norml"/>
    <w:link w:val="SzvegtrzsbehzssalChar"/>
    <w:rsid w:val="00077440"/>
    <w:pPr>
      <w:suppressAutoHyphens w:val="0"/>
      <w:autoSpaceDN w:val="0"/>
      <w:spacing w:after="120"/>
      <w:ind w:left="283"/>
    </w:pPr>
    <w:rPr>
      <w:lang w:eastAsia="en-US"/>
    </w:rPr>
  </w:style>
  <w:style w:type="character" w:customStyle="1" w:styleId="SzvegtrzsbehzssalChar">
    <w:name w:val="Szövegtörzs behúzással Char"/>
    <w:basedOn w:val="Bekezdsalapbettpusa"/>
    <w:link w:val="Szvegtrzsbehzssal"/>
    <w:rsid w:val="00077440"/>
    <w:rPr>
      <w:szCs w:val="24"/>
      <w:lang w:eastAsia="en-US"/>
    </w:rPr>
  </w:style>
  <w:style w:type="character" w:customStyle="1" w:styleId="reference-text">
    <w:name w:val="reference-text"/>
    <w:rsid w:val="00BD5AC2"/>
  </w:style>
  <w:style w:type="character" w:customStyle="1" w:styleId="citation">
    <w:name w:val="citation"/>
    <w:rsid w:val="003C1815"/>
  </w:style>
  <w:style w:type="character" w:styleId="Hiperhivatkozs">
    <w:name w:val="Hyperlink"/>
    <w:uiPriority w:val="99"/>
    <w:unhideWhenUsed/>
    <w:rsid w:val="003C18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International_Standard_Book_Numbe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Special:BookSources/0-88011-484-3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2017-05-10T10:06:00Z</dcterms:created>
  <dcterms:modified xsi:type="dcterms:W3CDTF">2017-05-10T10:06:00Z</dcterms:modified>
</cp:coreProperties>
</file>